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framePr w:wrap="around"/>
        <w:rPr>
          <w:rFonts w:hAnsi="黑体" w:cs="黑体"/>
        </w:rPr>
      </w:pPr>
      <w:bookmarkStart w:id="0" w:name="DT"/>
      <w:r>
        <w:rPr>
          <w:rFonts w:hint="eastAsia" w:hAnsi="黑体" w:cs="黑体"/>
        </w:rPr>
        <w:t>ICS </w:t>
      </w:r>
    </w:p>
    <w:p>
      <w:pPr>
        <w:pStyle w:val="12"/>
        <w:framePr w:wrap="around"/>
        <w:rPr>
          <w:rFonts w:hAnsi="黑体" w:cs="黑体"/>
        </w:rPr>
      </w:pPr>
      <w:r>
        <w:rPr>
          <w:rFonts w:hint="eastAsia" w:hAnsi="黑体" w:cs="黑体"/>
        </w:rPr>
        <w:t>CCS B</w:t>
      </w:r>
      <w:r>
        <w:rPr>
          <w:rFonts w:hAnsi="黑体" w:cs="黑体"/>
        </w:rPr>
        <w:t xml:space="preserve"> </w:t>
      </w:r>
    </w:p>
    <w:p>
      <w:pPr>
        <w:pStyle w:val="13"/>
        <w:framePr w:wrap="around"/>
      </w:pPr>
      <w:r>
        <w:t>DB3207</w:t>
      </w:r>
    </w:p>
    <w:p>
      <w:pPr>
        <w:pStyle w:val="15"/>
        <w:framePr w:wrap="around"/>
        <w:rPr>
          <w:rFonts w:hAnsi="Times New Roman"/>
        </w:rPr>
      </w:pPr>
      <w:r>
        <w:rPr>
          <w:rFonts w:hint="eastAsia" w:hAnsi="Times New Roman"/>
        </w:rPr>
        <w:t>连云港市地方标准</w:t>
      </w:r>
    </w:p>
    <w:p>
      <w:pPr>
        <w:pStyle w:val="16"/>
        <w:framePr w:wrap="around" w:x="1622" w:y="3196"/>
        <w:rPr>
          <w:rFonts w:hAnsi="黑体" w:cs="黑体"/>
        </w:rPr>
      </w:pPr>
      <w:r>
        <w:rPr>
          <w:rFonts w:hint="eastAsia" w:hAnsi="黑体" w:cs="黑体"/>
        </w:rPr>
        <w:t>DB3207/T XXXX—2024</w:t>
      </w:r>
    </w:p>
    <w:tbl>
      <w:tblPr>
        <w:tblStyle w:val="8"/>
        <w:tblW w:w="935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tcPr>
          <w:p>
            <w:pPr>
              <w:pStyle w:val="17"/>
              <w:framePr w:wrap="around" w:x="1622" w:y="3196"/>
            </w:pPr>
            <w:r>
              <mc:AlternateContent>
                <mc:Choice Requires="wps">
                  <w:drawing>
                    <wp:anchor distT="0" distB="0" distL="114300" distR="114300" simplePos="0" relativeHeight="251659264" behindDoc="1" locked="0" layoutInCell="1" allowOverlap="1">
                      <wp:simplePos x="0" y="0"/>
                      <wp:positionH relativeFrom="column">
                        <wp:posOffset>4734560</wp:posOffset>
                      </wp:positionH>
                      <wp:positionV relativeFrom="paragraph">
                        <wp:posOffset>34290</wp:posOffset>
                      </wp:positionV>
                      <wp:extent cx="1143000" cy="228600"/>
                      <wp:effectExtent l="0" t="0" r="0" b="0"/>
                      <wp:wrapNone/>
                      <wp:docPr id="8" name="矩形 8"/>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a:noFill/>
                              </a:ln>
                              <a:effectLst/>
                            </wps:spPr>
                            <wps:txbx>
                              <w:txbxContent>
                                <w:p>
                                  <w:pPr>
                                    <w:jc w:val="center"/>
                                  </w:pPr>
                                </w:p>
                              </w:txbxContent>
                            </wps:txbx>
                            <wps:bodyPr upright="1"/>
                          </wps:wsp>
                        </a:graphicData>
                      </a:graphic>
                    </wp:anchor>
                  </w:drawing>
                </mc:Choice>
                <mc:Fallback>
                  <w:pict>
                    <v:rect id="_x0000_s1026" o:spid="_x0000_s1026" o:spt="1" style="position:absolute;left:0pt;margin-left:372.8pt;margin-top:2.7pt;height:18pt;width:90pt;z-index:-251657216;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HmDyy9YAAAAIAQAADwAAAAAAAAABACAAAAAiAAAAZHJzL2Rvd25yZXYueG1sUEsBAhQAFAAA&#10;AAgAh07iQAENOVy4AQAAeAMAAA4AAAAAAAAAAQAgAAAAJQEAAGRycy9lMm9Eb2MueG1sUEsFBgAA&#10;AAAGAAYAWQEAAE8FAAAAAA==&#10;">
                      <v:fill on="t" focussize="0,0"/>
                      <v:stroke on="f"/>
                      <v:imagedata o:title=""/>
                      <o:lock v:ext="edit" aspectratio="f"/>
                      <v:textbox>
                        <w:txbxContent>
                          <w:p>
                            <w:pPr>
                              <w:jc w:val="center"/>
                            </w:pPr>
                          </w:p>
                        </w:txbxContent>
                      </v:textbox>
                    </v:rect>
                  </w:pict>
                </mc:Fallback>
              </mc:AlternateContent>
            </w:r>
            <w:bookmarkEnd w:id="0"/>
          </w:p>
        </w:tc>
      </w:tr>
    </w:tbl>
    <w:p>
      <w:pPr>
        <w:pStyle w:val="16"/>
        <w:framePr w:wrap="around" w:x="1622" w:y="3196"/>
        <w:rPr>
          <w:rFonts w:hAnsi="黑体"/>
        </w:rPr>
      </w:pPr>
    </w:p>
    <w:p>
      <w:pPr>
        <w:pStyle w:val="16"/>
        <w:framePr w:wrap="around" w:x="1622" w:y="3196"/>
        <w:rPr>
          <w:rFonts w:hAnsi="黑体"/>
        </w:rPr>
      </w:pPr>
    </w:p>
    <w:p>
      <w:pPr>
        <w:pStyle w:val="18"/>
        <w:framePr w:w="10314" w:wrap="around" w:x="1073" w:y="6627"/>
        <w:ind w:firstLine="520" w:firstLineChars="100"/>
        <w:rPr>
          <w:color w:val="000000"/>
        </w:rPr>
      </w:pPr>
      <w:r>
        <w:rPr>
          <w:rFonts w:hint="eastAsia"/>
          <w:szCs w:val="52"/>
        </w:rPr>
        <w:t>地理标志产品  东海西红柿</w:t>
      </w:r>
    </w:p>
    <w:p>
      <w:pPr>
        <w:pStyle w:val="20"/>
        <w:framePr w:w="10314" w:wrap="around" w:x="1073" w:y="6627"/>
        <w:rPr>
          <w:rFonts w:ascii="黑体" w:hAnsi="黑体" w:eastAsia="黑体" w:cs="黑体"/>
        </w:rPr>
      </w:pPr>
      <w:r>
        <w:rPr>
          <w:rFonts w:ascii="黑体" w:hAnsi="黑体" w:eastAsia="黑体" w:cs="黑体"/>
        </w:rPr>
        <w:t>Product of georaphical indication-Donghai Tomato</w:t>
      </w:r>
    </w:p>
    <w:p>
      <w:pPr>
        <w:pStyle w:val="23"/>
        <w:framePr w:w="3682" w:wrap="around" w:vAnchor="text" w:hAnchor="page" w:x="1041" w:y="13450"/>
      </w:pPr>
      <w:r>
        <w:rPr>
          <w:rFonts w:hint="eastAsia" w:ascii="黑体"/>
        </w:rPr>
        <w:t>2024</w:t>
      </w:r>
      <w:r>
        <w:t xml:space="preserve"> </w:t>
      </w:r>
      <w:r>
        <w:rPr>
          <w:rFonts w:ascii="黑体"/>
        </w:rPr>
        <w:t>-</w:t>
      </w:r>
      <w:r>
        <w:t xml:space="preserve"> </w:t>
      </w:r>
      <w:r>
        <w:rPr>
          <w:rFonts w:ascii="黑体"/>
        </w:rPr>
        <w:t>XX</w:t>
      </w:r>
      <w:r>
        <w:t xml:space="preserve"> </w:t>
      </w:r>
      <w:r>
        <w:rPr>
          <w:rFonts w:ascii="黑体"/>
        </w:rPr>
        <w:t>-</w:t>
      </w:r>
      <w:r>
        <w:t xml:space="preserve"> </w:t>
      </w:r>
      <w:r>
        <w:rPr>
          <w:rFonts w:ascii="黑体"/>
        </w:rPr>
        <w:t>XX</w:t>
      </w:r>
      <w:r>
        <w:rPr>
          <w:rFonts w:hint="eastAsia"/>
        </w:rPr>
        <w:t>发布</w:t>
      </w:r>
    </w:p>
    <w:p>
      <w:pPr>
        <w:pStyle w:val="25"/>
        <w:framePr w:w="3967" w:h="411" w:hRule="exact" w:wrap="around" w:vAnchor="text" w:hAnchor="page" w:x="6636" w:y="13465"/>
      </w:pPr>
      <w:r>
        <w:rPr>
          <w:rFonts w:hint="eastAsia" w:ascii="黑体"/>
        </w:rPr>
        <w:t>2024</w:t>
      </w:r>
      <w:r>
        <w:t xml:space="preserve"> </w:t>
      </w:r>
      <w:r>
        <w:rPr>
          <w:rFonts w:ascii="黑体"/>
        </w:rPr>
        <w:t>-</w:t>
      </w:r>
      <w:r>
        <w:t xml:space="preserve"> </w:t>
      </w:r>
      <w:r>
        <w:rPr>
          <w:rFonts w:ascii="黑体"/>
        </w:rPr>
        <w:t>XX</w:t>
      </w:r>
      <w:r>
        <w:t xml:space="preserve"> </w:t>
      </w:r>
      <w:r>
        <w:rPr>
          <w:rFonts w:ascii="黑体"/>
        </w:rPr>
        <w:t>-</w:t>
      </w:r>
      <w:r>
        <w:t xml:space="preserve"> </w:t>
      </w:r>
      <w:r>
        <w:rPr>
          <w:rFonts w:ascii="黑体"/>
        </w:rPr>
        <w:t>XX</w:t>
      </w:r>
      <w:r>
        <w:rPr>
          <w:rFonts w:hint="eastAsia"/>
        </w:rPr>
        <w:t>实施</w:t>
      </w:r>
    </w:p>
    <w:p>
      <w:pPr>
        <w:pStyle w:val="27"/>
        <w:framePr w:wrap="around" w:x="2194" w:y="14845"/>
      </w:pPr>
      <w:r>
        <w:rPr>
          <w:rFonts w:hint="eastAsia" w:hAnsi="黑体" w:cs="黑体"/>
        </w:rPr>
        <w:t xml:space="preserve"> 连云港市市场监督管理局</w:t>
      </w:r>
      <w:r>
        <w:rPr>
          <w:rFonts w:hAnsi="黑体" w:cs="黑体"/>
        </w:rPr>
        <w:t xml:space="preserve"> </w:t>
      </w:r>
      <w:r>
        <w:rPr>
          <w:rFonts w:hint="eastAsia" w:hAnsi="黑体" w:cs="黑体"/>
        </w:rPr>
        <w:t> </w:t>
      </w:r>
      <w:r>
        <w:rPr>
          <w:rStyle w:val="30"/>
          <w:rFonts w:hint="eastAsia"/>
        </w:rPr>
        <w:t>发布</w:t>
      </w:r>
    </w:p>
    <w:p>
      <w:pPr>
        <w:pStyle w:val="29"/>
        <w:sectPr>
          <w:headerReference r:id="rId5" w:type="first"/>
          <w:headerReference r:id="rId3" w:type="default"/>
          <w:headerReference r:id="rId4" w:type="even"/>
          <w:pgSz w:w="11906" w:h="16838"/>
          <w:pgMar w:top="567" w:right="850" w:bottom="1134" w:left="1418" w:header="0" w:footer="0" w:gutter="0"/>
          <w:pgNumType w:fmt="upperRoman" w:start="1"/>
          <w:cols w:space="720" w:num="1"/>
          <w:docGrid w:type="lines" w:linePitch="312" w:charSpace="0"/>
        </w:sectPr>
      </w:pPr>
      <w:r>
        <mc:AlternateContent>
          <mc:Choice Requires="wps">
            <w:drawing>
              <wp:anchor distT="0" distB="0" distL="114300" distR="114300" simplePos="0" relativeHeight="251661312" behindDoc="0" locked="0" layoutInCell="1" allowOverlap="1">
                <wp:simplePos x="0" y="0"/>
                <wp:positionH relativeFrom="column">
                  <wp:posOffset>-387350</wp:posOffset>
                </wp:positionH>
                <wp:positionV relativeFrom="paragraph">
                  <wp:posOffset>8968740</wp:posOffset>
                </wp:positionV>
                <wp:extent cx="6381115" cy="8890"/>
                <wp:effectExtent l="0" t="0" r="0" b="0"/>
                <wp:wrapNone/>
                <wp:docPr id="7" name="直接连接符 7"/>
                <wp:cNvGraphicFramePr/>
                <a:graphic xmlns:a="http://schemas.openxmlformats.org/drawingml/2006/main">
                  <a:graphicData uri="http://schemas.microsoft.com/office/word/2010/wordprocessingShape">
                    <wps:wsp>
                      <wps:cNvCnPr/>
                      <wps:spPr>
                        <a:xfrm>
                          <a:off x="0" y="0"/>
                          <a:ext cx="6381115" cy="889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30.5pt;margin-top:706.2pt;height:0.7pt;width:502.45pt;z-index:251661312;mso-width-relative:page;mso-height-relative:page;" filled="f" stroked="t" coordsize="21600,21600" o:gfxdata="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dZQVd2gAAAA0BAAAPAAAAAAAAAAEAIAAAACIAAABkcnMvZG93bnJldi54bWxQ&#10;SwECFAAUAAAACACHTuJA5kYVQPUBAADpAwAADgAAAAAAAAABACAAAAApAQAAZHJzL2Uyb0RvYy54&#10;bWxQSwUGAAAAAAYABgBZAQAAkAUAAAAA&#10;">
                <v:fill on="f" focussize="0,0"/>
                <v:stroke color="#000000" joinstyle="round"/>
                <v:imagedata o:title=""/>
                <o:lock v:ext="edit" aspectratio="f"/>
              </v:line>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-635</wp:posOffset>
                </wp:positionH>
                <wp:positionV relativeFrom="paragraph">
                  <wp:posOffset>2339340</wp:posOffset>
                </wp:positionV>
                <wp:extent cx="6120130" cy="0"/>
                <wp:effectExtent l="0" t="0" r="0" b="0"/>
                <wp:wrapNone/>
                <wp:docPr id="6" name="直接连接符 6"/>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0.05pt;margin-top:184.2pt;height:0pt;width:481.9pt;z-index:251660288;mso-width-relative:page;mso-height-relative:page;" filled="f" stroked="t" coordsize="21600,21600" o:gfxdata="UEsDBAoAAAAAAIdO4kAAAAAAAAAAAAAAAAAEAAAAZHJzL1BLAwQUAAAACACHTuJABdbwCNcAAAAJ&#10;AQAADwAAAGRycy9kb3ducmV2LnhtbE2PzU7DMBCE70h9B2uRuFStnQaF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BdbwCNcAAAAJAQAADwAAAAAAAAABACAAAAAiAAAAZHJzL2Rvd25yZXYueG1sUEsBAhQAFAAA&#10;AAgAh07iQNIxvarwAQAA5gMAAA4AAAAAAAAAAQAgAAAAJgEAAGRycy9lMm9Eb2MueG1sUEsFBgAA&#10;AAAGAAYAWQEAAIgFAAAAAA==&#10;">
                <v:fill on="f" focussize="0,0"/>
                <v:stroke color="#000000" joinstyle="round"/>
                <v:imagedata o:title=""/>
                <o:lock v:ext="edit" aspectratio="f"/>
              </v:line>
            </w:pict>
          </mc:Fallback>
        </mc:AlternateContent>
      </w:r>
    </w:p>
    <w:p>
      <w:pPr>
        <w:pStyle w:val="31"/>
        <w:adjustRightInd w:val="0"/>
        <w:snapToGrid w:val="0"/>
      </w:pPr>
      <w:bookmarkStart w:id="1" w:name="_Toc29734"/>
      <w:bookmarkStart w:id="2" w:name="_Toc28372"/>
      <w:r>
        <w:rPr>
          <w:rFonts w:hint="eastAsia" w:hAnsi="黑体" w:cs="黑体"/>
        </w:rPr>
        <w:t>前</w:t>
      </w:r>
      <w:bookmarkStart w:id="3" w:name="BKQY"/>
      <w:r>
        <w:rPr>
          <w:rFonts w:hint="eastAsia" w:hAnsi="黑体" w:cs="黑体"/>
        </w:rPr>
        <w:t>  言</w:t>
      </w:r>
      <w:bookmarkEnd w:id="1"/>
      <w:bookmarkEnd w:id="2"/>
      <w:bookmarkEnd w:id="3"/>
    </w:p>
    <w:p>
      <w:pPr>
        <w:pStyle w:val="29"/>
        <w:spacing w:line="360" w:lineRule="auto"/>
        <w:ind w:left="420" w:leftChars="200"/>
      </w:pPr>
      <w:r>
        <w:rPr>
          <w:rFonts w:hint="eastAsia"/>
        </w:rPr>
        <w:t xml:space="preserve">本文件按GB/T 1.1-2020《标准化工作导则 第1部分：标准化文件的结构和起草规则》的规定起草。  </w:t>
      </w:r>
    </w:p>
    <w:p>
      <w:pPr>
        <w:pStyle w:val="29"/>
        <w:spacing w:line="360" w:lineRule="auto"/>
        <w:ind w:left="420" w:leftChars="200"/>
      </w:pPr>
      <w:r>
        <w:rPr>
          <w:rFonts w:hint="eastAsia"/>
        </w:rPr>
        <w:t>请注意本文件的某些内容可能涉及专利。本文件的发布机构不承担识别专利的责任。</w:t>
      </w:r>
    </w:p>
    <w:p>
      <w:pPr>
        <w:pStyle w:val="29"/>
        <w:spacing w:line="360" w:lineRule="auto"/>
        <w:ind w:firstLine="840" w:firstLineChars="400"/>
      </w:pPr>
      <w:r>
        <w:rPr>
          <w:rFonts w:hint="eastAsia"/>
        </w:rPr>
        <w:t>本文件由连云港市农业农村局提出并组织实施与监督。</w:t>
      </w:r>
    </w:p>
    <w:p>
      <w:pPr>
        <w:pStyle w:val="29"/>
        <w:spacing w:line="360" w:lineRule="auto"/>
        <w:ind w:firstLine="840" w:firstLineChars="400"/>
        <w:rPr>
          <w:rFonts w:hint="eastAsia"/>
        </w:rPr>
      </w:pPr>
      <w:r>
        <w:rPr>
          <w:rFonts w:hint="eastAsia"/>
        </w:rPr>
        <w:t>本文件由连云港市农业标准化技术委员会归口。</w:t>
      </w:r>
    </w:p>
    <w:p>
      <w:pPr>
        <w:pStyle w:val="29"/>
        <w:spacing w:line="360" w:lineRule="auto"/>
        <w:ind w:firstLine="840" w:firstLineChars="400"/>
        <w:rPr>
          <w:rFonts w:hint="eastAsia"/>
        </w:rPr>
      </w:pPr>
      <w:r>
        <w:rPr>
          <w:rFonts w:hint="eastAsia"/>
        </w:rPr>
        <w:t>本</w:t>
      </w:r>
      <w:r>
        <w:rPr>
          <w:rFonts w:hint="eastAsia"/>
          <w:lang w:val="en-US" w:eastAsia="zh-CN"/>
        </w:rPr>
        <w:t>文件</w:t>
      </w:r>
      <w:r>
        <w:rPr>
          <w:rFonts w:hint="eastAsia"/>
        </w:rPr>
        <w:t>起草单位：东海县花卉研究推广站、</w:t>
      </w:r>
      <w:r>
        <w:rPr>
          <w:rFonts w:hint="default"/>
          <w:lang w:val="en-US" w:eastAsia="zh-CN"/>
        </w:rPr>
        <w:t>连云港市标准化研究中心</w:t>
      </w:r>
      <w:r>
        <w:rPr>
          <w:rFonts w:hint="eastAsia"/>
        </w:rPr>
        <w:t>、东海县农业技术推广中心、</w:t>
      </w:r>
      <w:r>
        <w:rPr>
          <w:rFonts w:hint="default"/>
        </w:rPr>
        <w:t>东海县产品质量和食品安全综合检验检测中心</w:t>
      </w:r>
      <w:r>
        <w:rPr>
          <w:rFonts w:hint="eastAsia"/>
        </w:rPr>
        <w:t xml:space="preserve">、中国农科院东海实验站。 </w:t>
      </w:r>
    </w:p>
    <w:p>
      <w:pPr>
        <w:pStyle w:val="29"/>
        <w:spacing w:line="360" w:lineRule="auto"/>
        <w:ind w:firstLine="840" w:firstLineChars="400"/>
        <w:rPr>
          <w:rFonts w:hint="eastAsia"/>
        </w:rPr>
        <w:sectPr>
          <w:headerReference r:id="rId6" w:type="default"/>
          <w:footerReference r:id="rId7" w:type="default"/>
          <w:pgSz w:w="11906" w:h="16838"/>
          <w:pgMar w:top="567" w:right="1134" w:bottom="1134" w:left="1418" w:header="1418" w:footer="1134" w:gutter="0"/>
          <w:pgNumType w:start="1"/>
          <w:cols w:space="720" w:num="1"/>
          <w:formProt w:val="0"/>
          <w:docGrid w:type="lines" w:linePitch="312" w:charSpace="0"/>
        </w:sectPr>
      </w:pPr>
      <w:r>
        <w:rPr>
          <w:rFonts w:hint="eastAsia"/>
        </w:rPr>
        <w:t>本</w:t>
      </w:r>
      <w:r>
        <w:rPr>
          <w:rFonts w:hint="eastAsia"/>
          <w:lang w:val="en-US" w:eastAsia="zh-CN"/>
        </w:rPr>
        <w:t>文件</w:t>
      </w:r>
      <w:r>
        <w:rPr>
          <w:rFonts w:hint="eastAsia"/>
        </w:rPr>
        <w:t>主要起草人：郑宁、潘晓盼、于帮红</w:t>
      </w:r>
      <w:r>
        <w:rPr>
          <w:rFonts w:hint="eastAsia"/>
          <w:lang w:eastAsia="zh-CN"/>
        </w:rPr>
        <w:t>、</w:t>
      </w:r>
      <w:r>
        <w:rPr>
          <w:rFonts w:hint="eastAsia"/>
        </w:rPr>
        <w:t>时芝红、黄叶彩、高雁茹、李敏、</w:t>
      </w:r>
      <w:r>
        <w:rPr>
          <w:rFonts w:hint="eastAsia"/>
          <w:lang w:val="en-US" w:eastAsia="zh-CN"/>
        </w:rPr>
        <w:t>陈芹、</w:t>
      </w:r>
      <w:r>
        <w:rPr>
          <w:rFonts w:hint="eastAsia"/>
        </w:rPr>
        <w:t>钱省、</w:t>
      </w:r>
      <w:r>
        <w:rPr>
          <w:rFonts w:hint="eastAsia"/>
          <w:lang w:val="en-US" w:eastAsia="zh-CN"/>
        </w:rPr>
        <w:t>王玲、魏桐、穆苏华、李璐</w:t>
      </w:r>
      <w:bookmarkStart w:id="9" w:name="_GoBack"/>
      <w:bookmarkEnd w:id="9"/>
      <w:r>
        <w:rPr>
          <w:rFonts w:hint="eastAsia"/>
          <w:lang w:val="en-US" w:eastAsia="zh-CN"/>
        </w:rPr>
        <w:t>璐、李萍、周文香</w:t>
      </w:r>
      <w:r>
        <w:rPr>
          <w:rFonts w:hint="eastAsia"/>
        </w:rPr>
        <w:t>。</w:t>
      </w:r>
    </w:p>
    <w:p>
      <w:pPr>
        <w:pStyle w:val="37"/>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地理标志产品  东海西红柿</w:t>
      </w:r>
    </w:p>
    <w:p>
      <w:pPr>
        <w:spacing w:before="312" w:beforeLines="100" w:after="312" w:afterLines="100" w:line="360" w:lineRule="auto"/>
        <w:jc w:val="left"/>
        <w:rPr>
          <w:rFonts w:ascii="黑体" w:hAnsi="黑体" w:eastAsia="黑体" w:cs="黑体"/>
          <w:color w:val="000000" w:themeColor="text1"/>
          <w14:textFill>
            <w14:solidFill>
              <w14:schemeClr w14:val="tx1"/>
            </w14:solidFill>
          </w14:textFill>
        </w:rPr>
      </w:pPr>
      <w:bookmarkStart w:id="4" w:name="_Toc80193465"/>
      <w:r>
        <w:rPr>
          <w:rFonts w:hint="eastAsia" w:ascii="黑体" w:hAnsi="黑体" w:eastAsia="黑体" w:cs="黑体"/>
          <w:color w:val="000000" w:themeColor="text1"/>
          <w14:textFill>
            <w14:solidFill>
              <w14:schemeClr w14:val="tx1"/>
            </w14:solidFill>
          </w14:textFill>
        </w:rPr>
        <w:t>1 范围</w:t>
      </w:r>
      <w:bookmarkEnd w:id="4"/>
    </w:p>
    <w:p>
      <w:pPr>
        <w:spacing w:line="360" w:lineRule="auto"/>
        <w:ind w:firstLine="420" w:firstLineChars="200"/>
        <w:jc w:val="left"/>
        <w:rPr>
          <w:rFonts w:hAnsi="宋体"/>
          <w:color w:val="FF0000"/>
        </w:rPr>
      </w:pPr>
      <w:bookmarkStart w:id="5" w:name="_Toc80193466"/>
      <w:r>
        <w:rPr>
          <w:rFonts w:hint="eastAsia" w:hAnsi="宋体"/>
          <w:color w:val="000000" w:themeColor="text1"/>
          <w14:textFill>
            <w14:solidFill>
              <w14:schemeClr w14:val="tx1"/>
            </w14:solidFill>
          </w14:textFill>
        </w:rPr>
        <w:t>本文件规定了地理标志产品</w:t>
      </w:r>
      <w:r>
        <w:rPr>
          <w:rFonts w:hint="eastAsia" w:hAnsi="宋体"/>
          <w:color w:val="000000" w:themeColor="text1"/>
          <w:lang w:val="en-US" w:eastAsia="zh-CN"/>
          <w14:textFill>
            <w14:solidFill>
              <w14:schemeClr w14:val="tx1"/>
            </w14:solidFill>
          </w14:textFill>
        </w:rPr>
        <w:t xml:space="preserve"> </w:t>
      </w:r>
      <w:r>
        <w:rPr>
          <w:rFonts w:hint="eastAsia" w:hAnsi="宋体"/>
          <w:color w:val="000000" w:themeColor="text1"/>
          <w14:textFill>
            <w14:solidFill>
              <w14:schemeClr w14:val="tx1"/>
            </w14:solidFill>
          </w14:textFill>
        </w:rPr>
        <w:t>东海西红柿的保护范围、要求、栽培技术、采收、试验方法、检验规则及标志、包装、运输和贮存及生产记录</w:t>
      </w:r>
      <w:r>
        <w:rPr>
          <w:rFonts w:hint="eastAsia" w:hAnsi="宋体"/>
          <w:color w:val="000000" w:themeColor="text1"/>
          <w:lang w:val="en-US" w:eastAsia="zh-CN"/>
          <w14:textFill>
            <w14:solidFill>
              <w14:schemeClr w14:val="tx1"/>
            </w14:solidFill>
          </w14:textFill>
        </w:rPr>
        <w:t>的</w:t>
      </w:r>
      <w:r>
        <w:rPr>
          <w:rFonts w:hint="eastAsia" w:hAnsi="宋体"/>
          <w:color w:val="000000" w:themeColor="text1"/>
          <w14:textFill>
            <w14:solidFill>
              <w14:schemeClr w14:val="tx1"/>
            </w14:solidFill>
          </w14:textFill>
        </w:rPr>
        <w:t>要求。</w:t>
      </w:r>
    </w:p>
    <w:p>
      <w:pPr>
        <w:pStyle w:val="39"/>
        <w:spacing w:line="360" w:lineRule="auto"/>
        <w:ind w:firstLine="420"/>
        <w:jc w:val="left"/>
        <w:rPr>
          <w:rFonts w:ascii="Times New Roman" w:hAnsi="宋体"/>
          <w:color w:val="000000" w:themeColor="text1"/>
          <w:kern w:val="2"/>
          <w:szCs w:val="24"/>
          <w14:textFill>
            <w14:solidFill>
              <w14:schemeClr w14:val="tx1"/>
            </w14:solidFill>
          </w14:textFill>
        </w:rPr>
      </w:pPr>
      <w:r>
        <w:rPr>
          <w:rFonts w:hint="eastAsia" w:ascii="Times New Roman" w:hAnsi="宋体"/>
          <w:color w:val="000000" w:themeColor="text1"/>
          <w:kern w:val="2"/>
          <w:szCs w:val="24"/>
          <w14:textFill>
            <w14:solidFill>
              <w14:schemeClr w14:val="tx1"/>
            </w14:solidFill>
          </w14:textFill>
        </w:rPr>
        <w:t>本文件适用于国家质量监督检验检疫总局（2016年第128号公告）批准保护的地理标志产品</w:t>
      </w:r>
      <w:r>
        <w:rPr>
          <w:rFonts w:hint="eastAsia" w:hAnsi="宋体"/>
          <w:color w:val="000000" w:themeColor="text1"/>
          <w14:textFill>
            <w14:solidFill>
              <w14:schemeClr w14:val="tx1"/>
            </w14:solidFill>
          </w14:textFill>
        </w:rPr>
        <w:t>东海西红柿。</w:t>
      </w:r>
    </w:p>
    <w:p>
      <w:pPr>
        <w:spacing w:before="312" w:beforeLines="100" w:after="312" w:afterLines="100" w:line="360" w:lineRule="auto"/>
        <w:jc w:val="left"/>
        <w:rPr>
          <w:rFonts w:ascii="黑体" w:hAnsi="黑体" w:eastAsia="黑体" w:cs="黑体"/>
          <w:color w:val="000000" w:themeColor="text1"/>
          <w14:textFill>
            <w14:solidFill>
              <w14:schemeClr w14:val="tx1"/>
            </w14:solidFill>
          </w14:textFill>
        </w:rPr>
      </w:pPr>
      <w:r>
        <w:rPr>
          <w:rFonts w:hint="eastAsia" w:ascii="黑体" w:hAnsi="黑体" w:eastAsia="黑体" w:cs="黑体"/>
          <w:color w:val="000000" w:themeColor="text1"/>
          <w14:textFill>
            <w14:solidFill>
              <w14:schemeClr w14:val="tx1"/>
            </w14:solidFill>
          </w14:textFill>
        </w:rPr>
        <w:t>2 规范性引用文件</w:t>
      </w:r>
      <w:bookmarkEnd w:id="5"/>
    </w:p>
    <w:p>
      <w:pPr>
        <w:pStyle w:val="39"/>
        <w:spacing w:line="360" w:lineRule="auto"/>
        <w:ind w:firstLine="420"/>
        <w:rPr>
          <w:rFonts w:hAnsi="宋体" w:cs="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下列文件中的内容通过文中的规范性引用而构成本文件必不可少的条款。其中，注日期的引用文件，仅该</w:t>
      </w:r>
      <w:r>
        <w:rPr>
          <w:rFonts w:hint="eastAsia" w:hAnsi="宋体" w:cs="宋体"/>
          <w:color w:val="000000" w:themeColor="text1"/>
          <w14:textFill>
            <w14:solidFill>
              <w14:schemeClr w14:val="tx1"/>
            </w14:solidFill>
          </w14:textFill>
        </w:rPr>
        <w:t>日期对应的版本适用于本文件；不注日期的引用文件，其最新版本（包括所有的修改单）适用于本文件。</w:t>
      </w:r>
    </w:p>
    <w:p>
      <w:pPr>
        <w:spacing w:line="360" w:lineRule="auto"/>
        <w:ind w:firstLine="420" w:firstLineChars="200"/>
        <w:jc w:val="left"/>
        <w:rPr>
          <w:rFonts w:ascii="宋体" w:hAnsi="宋体" w:cs="宋体"/>
          <w:color w:val="000000" w:themeColor="text1"/>
          <w14:textFill>
            <w14:solidFill>
              <w14:schemeClr w14:val="tx1"/>
            </w14:solidFill>
          </w14:textFill>
        </w:rPr>
      </w:pPr>
      <w:bookmarkStart w:id="6" w:name="_Toc29173"/>
      <w:bookmarkStart w:id="7" w:name="_Toc20962"/>
      <w:bookmarkStart w:id="8" w:name="_Toc80193467"/>
      <w:r>
        <w:rPr>
          <w:rFonts w:hint="eastAsia" w:ascii="宋体" w:hAnsi="宋体" w:cs="宋体"/>
          <w:color w:val="000000" w:themeColor="text1"/>
          <w14:textFill>
            <w14:solidFill>
              <w14:schemeClr w14:val="tx1"/>
            </w14:solidFill>
          </w14:textFill>
        </w:rPr>
        <w:t>GB 2762 食品中污染物限量</w:t>
      </w:r>
    </w:p>
    <w:p>
      <w:pPr>
        <w:spacing w:line="360" w:lineRule="auto"/>
        <w:ind w:firstLine="420" w:firstLineChars="200"/>
        <w:jc w:val="left"/>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GB 2763 食品中农药最大残留限量</w:t>
      </w:r>
    </w:p>
    <w:p>
      <w:pPr>
        <w:spacing w:line="360" w:lineRule="auto"/>
        <w:ind w:firstLine="420" w:firstLineChars="200"/>
        <w:jc w:val="left"/>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GB 5009.86 食品安全国家标准 食品中抗坏血酸的测定</w:t>
      </w:r>
    </w:p>
    <w:p>
      <w:pPr>
        <w:spacing w:line="360" w:lineRule="auto"/>
        <w:ind w:firstLine="420" w:firstLineChars="200"/>
        <w:jc w:val="left"/>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NY/T 1651 蔬菜及制品中番茄红素的测定 高效液相色谱法</w:t>
      </w:r>
    </w:p>
    <w:p>
      <w:pPr>
        <w:spacing w:line="360" w:lineRule="auto"/>
        <w:ind w:firstLine="420" w:firstLineChars="200"/>
        <w:jc w:val="left"/>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NY/T 2637 水果和蔬菜可溶性固形物含量的测定 折射仪法</w:t>
      </w:r>
    </w:p>
    <w:p>
      <w:pPr>
        <w:spacing w:line="360" w:lineRule="auto"/>
        <w:ind w:firstLine="420" w:firstLineChars="200"/>
        <w:jc w:val="left"/>
        <w:rPr>
          <w:rFonts w:hint="eastAsia" w:ascii="宋体" w:hAnsi="宋体" w:cs="宋体"/>
          <w:color w:val="000000" w:themeColor="text1"/>
          <w14:textFill>
            <w14:solidFill>
              <w14:schemeClr w14:val="tx1"/>
            </w14:solidFill>
          </w14:textFill>
        </w:rPr>
      </w:pPr>
      <w:r>
        <w:rPr>
          <w:rFonts w:ascii="宋体" w:hAnsi="宋体" w:cs="宋体"/>
          <w:color w:val="000000" w:themeColor="text1"/>
          <w14:textFill>
            <w14:solidFill>
              <w14:schemeClr w14:val="tx1"/>
            </w14:solidFill>
          </w14:textFill>
        </w:rPr>
        <w:t>DB3207/T 1043</w:t>
      </w:r>
      <w:r>
        <w:rPr>
          <w:rFonts w:hint="eastAsia" w:ascii="宋体" w:hAnsi="宋体" w:cs="宋体"/>
          <w:color w:val="000000" w:themeColor="text1"/>
          <w14:textFill>
            <w14:solidFill>
              <w14:schemeClr w14:val="tx1"/>
            </w14:solidFill>
          </w14:textFill>
        </w:rPr>
        <w:t xml:space="preserve"> 日光温室番茄生产技术规程</w:t>
      </w:r>
    </w:p>
    <w:p>
      <w:pPr>
        <w:spacing w:line="360" w:lineRule="auto"/>
        <w:ind w:firstLine="420" w:firstLineChars="200"/>
        <w:jc w:val="left"/>
        <w:rPr>
          <w:rFonts w:hint="eastAsia" w:ascii="宋体" w:hAnsi="宋体" w:cs="宋体"/>
          <w:color w:val="000000" w:themeColor="text1"/>
          <w14:textFill>
            <w14:solidFill>
              <w14:schemeClr w14:val="tx1"/>
            </w14:solidFill>
          </w14:textFill>
        </w:rPr>
      </w:pPr>
      <w:r>
        <w:rPr>
          <w:rFonts w:hint="eastAsia" w:ascii="宋体" w:hAnsi="宋体"/>
          <w:szCs w:val="21"/>
        </w:rPr>
        <w:t>国家知识产权局公告第354号</w:t>
      </w:r>
      <w:r>
        <w:rPr>
          <w:rFonts w:hint="eastAsia" w:ascii="宋体" w:hAnsi="宋体"/>
          <w:szCs w:val="21"/>
          <w:lang w:val="en-US" w:eastAsia="zh-CN"/>
        </w:rPr>
        <w:t xml:space="preserve"> 地理标志专用标志使用管理办法（试行）</w:t>
      </w:r>
    </w:p>
    <w:p>
      <w:pPr>
        <w:spacing w:before="312" w:beforeLines="100" w:after="312" w:afterLines="100" w:line="360" w:lineRule="auto"/>
        <w:jc w:val="left"/>
        <w:rPr>
          <w:rFonts w:ascii="黑体" w:hAnsi="黑体" w:eastAsia="黑体" w:cs="黑体"/>
          <w:color w:val="000000" w:themeColor="text1"/>
          <w14:textFill>
            <w14:solidFill>
              <w14:schemeClr w14:val="tx1"/>
            </w14:solidFill>
          </w14:textFill>
        </w:rPr>
      </w:pPr>
      <w:r>
        <w:rPr>
          <w:rFonts w:hint="eastAsia" w:ascii="黑体" w:hAnsi="黑体" w:eastAsia="黑体" w:cs="黑体"/>
          <w:color w:val="000000" w:themeColor="text1"/>
          <w14:textFill>
            <w14:solidFill>
              <w14:schemeClr w14:val="tx1"/>
            </w14:solidFill>
          </w14:textFill>
        </w:rPr>
        <w:t>3 术语和定义</w:t>
      </w:r>
      <w:bookmarkEnd w:id="6"/>
      <w:bookmarkEnd w:id="7"/>
      <w:bookmarkEnd w:id="8"/>
    </w:p>
    <w:p>
      <w:pPr>
        <w:pStyle w:val="40"/>
        <w:numPr>
          <w:ilvl w:val="0"/>
          <w:numId w:val="0"/>
        </w:numPr>
        <w:spacing w:beforeLines="0" w:afterLines="0" w:line="360" w:lineRule="auto"/>
        <w:ind w:firstLine="420" w:firstLineChars="200"/>
        <w:rPr>
          <w:rFonts w:ascii="宋体" w:hAnsi="宋体" w:eastAsia="宋体"/>
          <w:color w:val="000000" w:themeColor="text1"/>
          <w:szCs w:val="20"/>
          <w14:textFill>
            <w14:solidFill>
              <w14:schemeClr w14:val="tx1"/>
            </w14:solidFill>
          </w14:textFill>
        </w:rPr>
      </w:pPr>
      <w:r>
        <w:rPr>
          <w:rFonts w:ascii="宋体" w:hAnsi="宋体" w:eastAsia="宋体"/>
          <w:color w:val="000000" w:themeColor="text1"/>
          <w:szCs w:val="20"/>
          <w14:textFill>
            <w14:solidFill>
              <w14:schemeClr w14:val="tx1"/>
            </w14:solidFill>
          </w14:textFill>
        </w:rPr>
        <w:t>DB3207/T 1043</w:t>
      </w:r>
      <w:r>
        <w:rPr>
          <w:rFonts w:hint="eastAsia" w:ascii="宋体" w:hAnsi="宋体" w:eastAsia="宋体"/>
          <w:color w:val="000000" w:themeColor="text1"/>
          <w:szCs w:val="20"/>
          <w14:textFill>
            <w14:solidFill>
              <w14:schemeClr w14:val="tx1"/>
            </w14:solidFill>
          </w14:textFill>
        </w:rPr>
        <w:t>界定</w:t>
      </w:r>
      <w:r>
        <w:rPr>
          <w:rFonts w:ascii="宋体" w:hAnsi="宋体" w:eastAsia="宋体"/>
          <w:color w:val="000000" w:themeColor="text1"/>
          <w:szCs w:val="20"/>
          <w14:textFill>
            <w14:solidFill>
              <w14:schemeClr w14:val="tx1"/>
            </w14:solidFill>
          </w14:textFill>
        </w:rPr>
        <w:t>的以及</w:t>
      </w:r>
      <w:r>
        <w:rPr>
          <w:rFonts w:hint="eastAsia" w:ascii="宋体" w:hAnsi="宋体" w:eastAsia="宋体"/>
          <w:color w:val="000000" w:themeColor="text1"/>
          <w:szCs w:val="20"/>
          <w14:textFill>
            <w14:solidFill>
              <w14:schemeClr w14:val="tx1"/>
            </w14:solidFill>
          </w14:textFill>
        </w:rPr>
        <w:t>下列术语和定义适用于本文件。</w:t>
      </w:r>
    </w:p>
    <w:p>
      <w:pPr>
        <w:pStyle w:val="40"/>
        <w:numPr>
          <w:ilvl w:val="0"/>
          <w:numId w:val="0"/>
        </w:numPr>
        <w:spacing w:before="156" w:after="156" w:line="360" w:lineRule="auto"/>
        <w:rPr>
          <w:rFonts w:hAnsi="黑体" w:cs="黑体"/>
          <w:color w:val="000000" w:themeColor="text1"/>
          <w:kern w:val="2"/>
          <w:szCs w:val="24"/>
          <w14:textFill>
            <w14:solidFill>
              <w14:schemeClr w14:val="tx1"/>
            </w14:solidFill>
          </w14:textFill>
        </w:rPr>
      </w:pPr>
      <w:r>
        <w:rPr>
          <w:rFonts w:hint="eastAsia" w:hAnsi="黑体" w:cs="黑体"/>
          <w:color w:val="000000" w:themeColor="text1"/>
          <w:kern w:val="2"/>
          <w:szCs w:val="24"/>
          <w14:textFill>
            <w14:solidFill>
              <w14:schemeClr w14:val="tx1"/>
            </w14:solidFill>
          </w14:textFill>
        </w:rPr>
        <w:t>3.1</w:t>
      </w:r>
    </w:p>
    <w:p>
      <w:pPr>
        <w:pStyle w:val="29"/>
        <w:spacing w:line="360" w:lineRule="auto"/>
        <w:jc w:val="left"/>
        <w:rPr>
          <w:rFonts w:ascii="黑体" w:hAnsi="黑体" w:eastAsia="黑体"/>
        </w:rPr>
      </w:pPr>
      <w:r>
        <w:rPr>
          <w:rFonts w:hint="eastAsia" w:ascii="黑体" w:hAnsi="黑体" w:eastAsia="黑体"/>
        </w:rPr>
        <w:t>东海西红柿 donghai tomato</w:t>
      </w:r>
    </w:p>
    <w:p>
      <w:pPr>
        <w:pStyle w:val="29"/>
        <w:spacing w:line="360" w:lineRule="auto"/>
        <w:jc w:val="left"/>
      </w:pPr>
      <w:r>
        <w:rPr>
          <w:rFonts w:hint="eastAsia" w:ascii="Times New Roman" w:hAnsi="宋体"/>
          <w:color w:val="000000" w:themeColor="text1"/>
          <w:kern w:val="2"/>
          <w:szCs w:val="24"/>
          <w14:textFill>
            <w14:solidFill>
              <w14:schemeClr w14:val="tx1"/>
            </w14:solidFill>
          </w14:textFill>
        </w:rPr>
        <w:t>根据国家质量监督检验检疫总局（2016年第128号公告）批准</w:t>
      </w:r>
      <w:r>
        <w:rPr>
          <w:rFonts w:hint="eastAsia"/>
        </w:rPr>
        <w:t>的保护范围，</w:t>
      </w:r>
      <w:r>
        <w:rPr>
          <w:rFonts w:hint="eastAsia"/>
          <w:lang w:val="en-US" w:eastAsia="zh-CN"/>
        </w:rPr>
        <w:t>在连云港市东海县</w:t>
      </w:r>
      <w:r>
        <w:rPr>
          <w:rFonts w:hint="eastAsia"/>
        </w:rPr>
        <w:t>按照规定的生产技术规程生产并达到相应质量要求的西红柿软果。如：金棚系列、航育9号、惠丰等。</w:t>
      </w:r>
    </w:p>
    <w:p>
      <w:pPr>
        <w:spacing w:before="312" w:beforeLines="100" w:after="312" w:afterLines="100" w:line="360" w:lineRule="auto"/>
        <w:jc w:val="left"/>
        <w:rPr>
          <w:rFonts w:ascii="黑体" w:hAnsi="黑体" w:eastAsia="黑体" w:cs="黑体"/>
          <w:color w:val="000000" w:themeColor="text1"/>
          <w14:textFill>
            <w14:solidFill>
              <w14:schemeClr w14:val="tx1"/>
            </w14:solidFill>
          </w14:textFill>
        </w:rPr>
      </w:pPr>
      <w:r>
        <w:rPr>
          <w:rFonts w:hint="eastAsia" w:ascii="黑体" w:hAnsi="黑体" w:eastAsia="黑体" w:cs="黑体"/>
          <w:color w:val="000000" w:themeColor="text1"/>
          <w14:textFill>
            <w14:solidFill>
              <w14:schemeClr w14:val="tx1"/>
            </w14:solidFill>
          </w14:textFill>
        </w:rPr>
        <w:t>4 保护范围</w:t>
      </w:r>
    </w:p>
    <w:p>
      <w:pPr>
        <w:spacing w:line="360" w:lineRule="auto"/>
        <w:ind w:firstLine="420" w:firstLineChars="200"/>
        <w:jc w:val="left"/>
        <w:rPr>
          <w:rFonts w:ascii="宋体" w:hAnsi="宋体" w:cs="黑体"/>
          <w:color w:val="000000" w:themeColor="text1"/>
          <w:kern w:val="0"/>
          <w:szCs w:val="20"/>
          <w14:textFill>
            <w14:solidFill>
              <w14:schemeClr w14:val="tx1"/>
            </w14:solidFill>
          </w14:textFill>
        </w:rPr>
      </w:pPr>
      <w:r>
        <w:rPr>
          <w:rFonts w:hint="eastAsia" w:ascii="宋体" w:hAnsi="宋体" w:cs="黑体"/>
          <w:color w:val="000000" w:themeColor="text1"/>
          <w:kern w:val="0"/>
          <w:szCs w:val="20"/>
          <w14:textFill>
            <w14:solidFill>
              <w14:schemeClr w14:val="tx1"/>
            </w14:solidFill>
          </w14:textFill>
        </w:rPr>
        <w:t>根据国家质量监督检验检疫总局（2016年第128号）公告批准的范围，即江苏省东海县现辖行政区域，见附录A。</w:t>
      </w:r>
    </w:p>
    <w:p>
      <w:pPr>
        <w:spacing w:before="312" w:beforeLines="100" w:after="312" w:afterLines="100" w:line="360" w:lineRule="auto"/>
        <w:jc w:val="left"/>
        <w:rPr>
          <w:rFonts w:ascii="黑体" w:hAnsi="黑体" w:eastAsia="黑体" w:cs="黑体"/>
          <w:color w:val="000000" w:themeColor="text1"/>
          <w14:textFill>
            <w14:solidFill>
              <w14:schemeClr w14:val="tx1"/>
            </w14:solidFill>
          </w14:textFill>
        </w:rPr>
      </w:pPr>
      <w:r>
        <w:rPr>
          <w:rFonts w:hint="eastAsia" w:ascii="黑体" w:hAnsi="黑体" w:eastAsia="黑体" w:cs="黑体"/>
          <w:color w:val="000000" w:themeColor="text1"/>
          <w14:textFill>
            <w14:solidFill>
              <w14:schemeClr w14:val="tx1"/>
            </w14:solidFill>
          </w14:textFill>
        </w:rPr>
        <w:t>5 要求</w:t>
      </w:r>
    </w:p>
    <w:p>
      <w:pPr>
        <w:adjustRightInd w:val="0"/>
        <w:snapToGrid w:val="0"/>
        <w:spacing w:before="156" w:beforeLines="50" w:after="156" w:afterLines="50" w:line="360" w:lineRule="auto"/>
        <w:jc w:val="left"/>
        <w:rPr>
          <w:rFonts w:ascii="黑体" w:hAnsi="黑体" w:eastAsia="黑体" w:cs="黑体"/>
          <w:color w:val="000000" w:themeColor="text1"/>
          <w14:textFill>
            <w14:solidFill>
              <w14:schemeClr w14:val="tx1"/>
            </w14:solidFill>
          </w14:textFill>
        </w:rPr>
      </w:pPr>
      <w:r>
        <w:rPr>
          <w:rFonts w:hint="eastAsia" w:ascii="黑体" w:hAnsi="黑体" w:eastAsia="黑体" w:cs="黑体"/>
          <w:color w:val="000000" w:themeColor="text1"/>
          <w14:textFill>
            <w14:solidFill>
              <w14:schemeClr w14:val="tx1"/>
            </w14:solidFill>
          </w14:textFill>
        </w:rPr>
        <w:t>5.1</w:t>
      </w:r>
      <w:r>
        <w:rPr>
          <w:rFonts w:hint="eastAsia" w:ascii="黑体" w:hAnsi="黑体" w:eastAsia="黑体" w:cs="黑体"/>
          <w:color w:val="000000" w:themeColor="text1"/>
          <w14:textFill>
            <w14:solidFill>
              <w14:schemeClr w14:val="tx1"/>
            </w14:solidFill>
          </w14:textFill>
        </w:rPr>
        <w:tab/>
      </w:r>
      <w:r>
        <w:rPr>
          <w:rFonts w:hint="eastAsia" w:ascii="黑体" w:hAnsi="黑体" w:eastAsia="黑体" w:cs="黑体"/>
          <w:color w:val="000000" w:themeColor="text1"/>
          <w14:textFill>
            <w14:solidFill>
              <w14:schemeClr w14:val="tx1"/>
            </w14:solidFill>
          </w14:textFill>
        </w:rPr>
        <w:t>自然环境</w:t>
      </w:r>
    </w:p>
    <w:p>
      <w:pPr>
        <w:adjustRightInd w:val="0"/>
        <w:snapToGrid w:val="0"/>
        <w:spacing w:line="360" w:lineRule="auto"/>
        <w:ind w:firstLine="420" w:firstLineChars="200"/>
        <w:jc w:val="left"/>
        <w:rPr>
          <w:rFonts w:ascii="宋体" w:hAnsi="宋体" w:cs="黑体"/>
          <w:color w:val="000000" w:themeColor="text1"/>
          <w14:textFill>
            <w14:solidFill>
              <w14:schemeClr w14:val="tx1"/>
            </w14:solidFill>
          </w14:textFill>
        </w:rPr>
      </w:pPr>
      <w:r>
        <w:rPr>
          <w:rFonts w:hint="eastAsia" w:ascii="宋体" w:hAnsi="宋体" w:cs="黑体"/>
          <w:color w:val="000000" w:themeColor="text1"/>
          <w14:textFill>
            <w14:solidFill>
              <w14:schemeClr w14:val="tx1"/>
            </w14:solidFill>
          </w14:textFill>
        </w:rPr>
        <w:t>东海西红柿生长自然环境为年平均气温15.0 ℃，年日均温度大于10</w:t>
      </w:r>
      <w:r>
        <w:rPr>
          <w:rFonts w:hint="eastAsia" w:ascii="宋体" w:hAnsi="宋体" w:cs="黑体"/>
          <w:color w:val="000000" w:themeColor="text1"/>
          <w:lang w:val="en-US" w:eastAsia="zh-CN"/>
          <w14:textFill>
            <w14:solidFill>
              <w14:schemeClr w14:val="tx1"/>
            </w14:solidFill>
          </w14:textFill>
        </w:rPr>
        <w:t>.0</w:t>
      </w:r>
      <w:r>
        <w:rPr>
          <w:rFonts w:hint="eastAsia" w:ascii="宋体" w:hAnsi="宋体" w:cs="黑体"/>
          <w:color w:val="000000" w:themeColor="text1"/>
          <w14:textFill>
            <w14:solidFill>
              <w14:schemeClr w14:val="tx1"/>
            </w14:solidFill>
          </w14:textFill>
        </w:rPr>
        <w:t xml:space="preserve"> ℃的时间长达213 d，年</w:t>
      </w:r>
      <w:r>
        <w:rPr>
          <w:rFonts w:hint="eastAsia" w:ascii="宋体" w:hAnsi="宋体" w:cs="黑体"/>
          <w:color w:val="000000" w:themeColor="text1"/>
          <w:lang w:val="en-US" w:eastAsia="zh-CN"/>
          <w14:textFill>
            <w14:solidFill>
              <w14:schemeClr w14:val="tx1"/>
            </w14:solidFill>
          </w14:textFill>
        </w:rPr>
        <w:t>平均</w:t>
      </w:r>
      <w:r>
        <w:rPr>
          <w:rFonts w:hint="eastAsia" w:ascii="宋体" w:hAnsi="宋体" w:cs="黑体"/>
          <w:color w:val="000000" w:themeColor="text1"/>
          <w14:textFill>
            <w14:solidFill>
              <w14:schemeClr w14:val="tx1"/>
            </w14:solidFill>
          </w14:textFill>
        </w:rPr>
        <w:t>日照时数</w:t>
      </w:r>
      <w:r>
        <w:rPr>
          <w:rFonts w:hint="eastAsia" w:ascii="宋体" w:hAnsi="宋体" w:cs="黑体"/>
          <w:color w:val="000000" w:themeColor="text1"/>
          <w:lang w:val="en-US" w:eastAsia="zh-CN"/>
          <w14:textFill>
            <w14:solidFill>
              <w14:schemeClr w14:val="tx1"/>
            </w14:solidFill>
          </w14:textFill>
        </w:rPr>
        <w:t>大于</w:t>
      </w:r>
      <w:r>
        <w:rPr>
          <w:rFonts w:hint="eastAsia" w:ascii="宋体" w:hAnsi="宋体" w:cs="黑体"/>
          <w:color w:val="000000" w:themeColor="text1"/>
          <w14:textFill>
            <w14:solidFill>
              <w14:schemeClr w14:val="tx1"/>
            </w14:solidFill>
          </w14:textFill>
        </w:rPr>
        <w:t>2335 h，太阳平均年辐射总量119.6千卡/平方厘米，年平均降雨量918</w:t>
      </w:r>
      <w:r>
        <w:rPr>
          <w:rFonts w:hint="eastAsia" w:ascii="宋体" w:hAnsi="宋体" w:cs="黑体"/>
          <w:color w:val="000000" w:themeColor="text1"/>
          <w:lang w:val="en-US" w:eastAsia="zh-CN"/>
          <w14:textFill>
            <w14:solidFill>
              <w14:schemeClr w14:val="tx1"/>
            </w14:solidFill>
          </w14:textFill>
        </w:rPr>
        <w:t>.0</w:t>
      </w:r>
      <w:r>
        <w:rPr>
          <w:rFonts w:hint="eastAsia" w:ascii="宋体" w:hAnsi="宋体" w:cs="黑体"/>
          <w:color w:val="000000" w:themeColor="text1"/>
          <w14:textFill>
            <w14:solidFill>
              <w14:schemeClr w14:val="tx1"/>
            </w14:solidFill>
          </w14:textFill>
        </w:rPr>
        <w:t xml:space="preserve"> mm。</w:t>
      </w:r>
    </w:p>
    <w:p>
      <w:pPr>
        <w:adjustRightInd w:val="0"/>
        <w:snapToGrid w:val="0"/>
        <w:spacing w:before="156" w:beforeLines="50" w:after="156" w:afterLines="50" w:line="360" w:lineRule="auto"/>
        <w:jc w:val="left"/>
        <w:rPr>
          <w:rFonts w:ascii="黑体" w:hAnsi="黑体" w:eastAsia="黑体" w:cs="黑体"/>
          <w:color w:val="000000" w:themeColor="text1"/>
          <w14:textFill>
            <w14:solidFill>
              <w14:schemeClr w14:val="tx1"/>
            </w14:solidFill>
          </w14:textFill>
        </w:rPr>
      </w:pPr>
      <w:r>
        <w:rPr>
          <w:rFonts w:hint="eastAsia" w:ascii="黑体" w:hAnsi="黑体" w:eastAsia="黑体" w:cs="黑体"/>
          <w:color w:val="000000" w:themeColor="text1"/>
          <w14:textFill>
            <w14:solidFill>
              <w14:schemeClr w14:val="tx1"/>
            </w14:solidFill>
          </w14:textFill>
        </w:rPr>
        <w:t>5.2</w:t>
      </w:r>
      <w:r>
        <w:rPr>
          <w:rFonts w:hint="eastAsia" w:ascii="黑体" w:hAnsi="黑体" w:eastAsia="黑体" w:cs="黑体"/>
          <w:color w:val="000000" w:themeColor="text1"/>
          <w14:textFill>
            <w14:solidFill>
              <w14:schemeClr w14:val="tx1"/>
            </w14:solidFill>
          </w14:textFill>
        </w:rPr>
        <w:tab/>
      </w:r>
      <w:r>
        <w:rPr>
          <w:rFonts w:hint="eastAsia" w:ascii="黑体" w:hAnsi="黑体" w:eastAsia="黑体" w:cs="黑体"/>
          <w:color w:val="000000" w:themeColor="text1"/>
          <w14:textFill>
            <w14:solidFill>
              <w14:schemeClr w14:val="tx1"/>
            </w14:solidFill>
          </w14:textFill>
        </w:rPr>
        <w:t>土壤</w:t>
      </w:r>
    </w:p>
    <w:p>
      <w:pPr>
        <w:adjustRightInd w:val="0"/>
        <w:snapToGrid w:val="0"/>
        <w:spacing w:line="360" w:lineRule="auto"/>
        <w:ind w:firstLine="420" w:firstLineChars="200"/>
        <w:jc w:val="left"/>
        <w:rPr>
          <w:rFonts w:ascii="宋体" w:hAnsi="宋体" w:cs="黑体"/>
          <w:color w:val="000000" w:themeColor="text1"/>
          <w14:textFill>
            <w14:solidFill>
              <w14:schemeClr w14:val="tx1"/>
            </w14:solidFill>
          </w14:textFill>
        </w:rPr>
      </w:pPr>
      <w:r>
        <w:rPr>
          <w:rFonts w:hint="eastAsia" w:ascii="宋体" w:hAnsi="宋体" w:cs="黑体"/>
          <w:color w:val="000000" w:themeColor="text1"/>
          <w14:textFill>
            <w14:solidFill>
              <w14:schemeClr w14:val="tx1"/>
            </w14:solidFill>
          </w14:textFill>
        </w:rPr>
        <w:t>宜选择排水良好的平地，土壤类型为褐潮土、湖黑土，土壤质地为轻壤土，土壤pH值6.5～7.5，有机质含量≥1.5%。</w:t>
      </w:r>
    </w:p>
    <w:p>
      <w:pPr>
        <w:adjustRightInd w:val="0"/>
        <w:snapToGrid w:val="0"/>
        <w:spacing w:before="312" w:beforeLines="100" w:after="312" w:afterLines="100" w:line="360" w:lineRule="auto"/>
        <w:jc w:val="left"/>
        <w:rPr>
          <w:rFonts w:ascii="黑体" w:eastAsia="黑体"/>
          <w:color w:val="000000" w:themeColor="text1"/>
          <w:szCs w:val="21"/>
          <w14:textFill>
            <w14:solidFill>
              <w14:schemeClr w14:val="tx1"/>
            </w14:solidFill>
          </w14:textFill>
        </w:rPr>
      </w:pPr>
      <w:r>
        <w:rPr>
          <w:rFonts w:hint="eastAsia" w:ascii="黑体" w:eastAsia="黑体"/>
          <w:color w:val="000000" w:themeColor="text1"/>
          <w:szCs w:val="21"/>
          <w:lang w:val="en-US" w:eastAsia="zh-CN"/>
          <w14:textFill>
            <w14:solidFill>
              <w14:schemeClr w14:val="tx1"/>
            </w14:solidFill>
          </w14:textFill>
        </w:rPr>
        <w:t>6</w:t>
      </w:r>
      <w:r>
        <w:rPr>
          <w:rFonts w:ascii="黑体" w:eastAsia="黑体"/>
          <w:color w:val="000000" w:themeColor="text1"/>
          <w:szCs w:val="21"/>
          <w14:textFill>
            <w14:solidFill>
              <w14:schemeClr w14:val="tx1"/>
            </w14:solidFill>
          </w14:textFill>
        </w:rPr>
        <w:t xml:space="preserve"> </w:t>
      </w:r>
      <w:r>
        <w:rPr>
          <w:rFonts w:hint="eastAsia" w:ascii="黑体" w:eastAsia="黑体"/>
          <w:color w:val="000000" w:themeColor="text1"/>
          <w:szCs w:val="21"/>
          <w14:textFill>
            <w14:solidFill>
              <w14:schemeClr w14:val="tx1"/>
            </w14:solidFill>
          </w14:textFill>
        </w:rPr>
        <w:t>采收</w:t>
      </w:r>
    </w:p>
    <w:p>
      <w:pPr>
        <w:adjustRightInd w:val="0"/>
        <w:snapToGrid w:val="0"/>
        <w:spacing w:line="360" w:lineRule="auto"/>
        <w:ind w:firstLine="420" w:firstLineChars="200"/>
        <w:jc w:val="left"/>
        <w:rPr>
          <w:rFonts w:ascii="宋体" w:hAnsi="宋体" w:cs="黑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根据上市时间及运输距离的远近决定。如：隔1日上市鲜销的，收购时应达七至八成熟；隔2日上市鲜销的应达五至六成熟。</w:t>
      </w:r>
    </w:p>
    <w:p>
      <w:pPr>
        <w:adjustRightInd w:val="0"/>
        <w:snapToGrid w:val="0"/>
        <w:spacing w:before="312" w:beforeLines="100" w:after="312" w:afterLines="100" w:line="360" w:lineRule="auto"/>
        <w:jc w:val="left"/>
        <w:rPr>
          <w:rFonts w:hint="eastAsia" w:ascii="黑体" w:hAnsi="黑体" w:eastAsia="黑体" w:cs="黑体"/>
          <w:color w:val="000000" w:themeColor="text1"/>
          <w:szCs w:val="22"/>
          <w:lang w:eastAsia="zh-CN"/>
          <w14:textFill>
            <w14:solidFill>
              <w14:schemeClr w14:val="tx1"/>
            </w14:solidFill>
          </w14:textFill>
        </w:rPr>
      </w:pPr>
      <w:r>
        <w:rPr>
          <w:rFonts w:hint="eastAsia" w:ascii="黑体" w:eastAsia="黑体"/>
          <w:color w:val="000000" w:themeColor="text1"/>
          <w:szCs w:val="21"/>
          <w:lang w:val="en-US" w:eastAsia="zh-CN"/>
          <w14:textFill>
            <w14:solidFill>
              <w14:schemeClr w14:val="tx1"/>
            </w14:solidFill>
          </w14:textFill>
        </w:rPr>
        <w:t>7</w:t>
      </w:r>
      <w:r>
        <w:rPr>
          <w:rFonts w:ascii="黑体" w:eastAsia="黑体"/>
          <w:color w:val="000000" w:themeColor="text1"/>
          <w:szCs w:val="21"/>
          <w14:textFill>
            <w14:solidFill>
              <w14:schemeClr w14:val="tx1"/>
            </w14:solidFill>
          </w14:textFill>
        </w:rPr>
        <w:t xml:space="preserve"> </w:t>
      </w:r>
      <w:r>
        <w:rPr>
          <w:rFonts w:hint="eastAsia" w:ascii="黑体" w:hAnsi="黑体" w:eastAsia="黑体" w:cs="黑体"/>
          <w:color w:val="000000" w:themeColor="text1"/>
          <w:szCs w:val="22"/>
          <w:lang w:val="en-US" w:eastAsia="zh-CN"/>
          <w14:textFill>
            <w14:solidFill>
              <w14:schemeClr w14:val="tx1"/>
            </w14:solidFill>
          </w14:textFill>
        </w:rPr>
        <w:t>检验要求</w:t>
      </w:r>
    </w:p>
    <w:p>
      <w:pPr>
        <w:adjustRightInd w:val="0"/>
        <w:snapToGrid w:val="0"/>
        <w:spacing w:before="156" w:beforeLines="50" w:after="156" w:afterLines="50" w:line="360" w:lineRule="auto"/>
        <w:jc w:val="left"/>
        <w:rPr>
          <w:rFonts w:ascii="黑体" w:hAnsi="黑体" w:eastAsia="黑体" w:cs="黑体"/>
          <w:color w:val="000000" w:themeColor="text1"/>
          <w:szCs w:val="22"/>
          <w14:textFill>
            <w14:solidFill>
              <w14:schemeClr w14:val="tx1"/>
            </w14:solidFill>
          </w14:textFill>
        </w:rPr>
      </w:pPr>
      <w:r>
        <w:rPr>
          <w:rFonts w:hint="eastAsia" w:ascii="黑体" w:hAnsi="黑体" w:eastAsia="黑体" w:cs="黑体"/>
          <w:color w:val="000000" w:themeColor="text1"/>
          <w:szCs w:val="22"/>
          <w:lang w:val="en-US" w:eastAsia="zh-CN"/>
          <w14:textFill>
            <w14:solidFill>
              <w14:schemeClr w14:val="tx1"/>
            </w14:solidFill>
          </w14:textFill>
        </w:rPr>
        <w:t>7</w:t>
      </w:r>
      <w:r>
        <w:rPr>
          <w:rFonts w:hint="eastAsia" w:ascii="黑体" w:hAnsi="黑体" w:eastAsia="黑体" w:cs="黑体"/>
          <w:color w:val="000000" w:themeColor="text1"/>
          <w:szCs w:val="22"/>
          <w14:textFill>
            <w14:solidFill>
              <w14:schemeClr w14:val="tx1"/>
            </w14:solidFill>
          </w14:textFill>
        </w:rPr>
        <w:t>.1 感官指标</w:t>
      </w:r>
    </w:p>
    <w:p>
      <w:pPr>
        <w:adjustRightInd w:val="0"/>
        <w:snapToGrid w:val="0"/>
        <w:spacing w:line="360" w:lineRule="auto"/>
        <w:jc w:val="left"/>
        <w:rPr>
          <w:rFonts w:cs="黑体" w:asciiTheme="minorEastAsia" w:hAnsiTheme="minorEastAsia" w:eastAsiaTheme="minorEastAsia"/>
          <w:color w:val="000000" w:themeColor="text1"/>
          <w:szCs w:val="22"/>
          <w14:textFill>
            <w14:solidFill>
              <w14:schemeClr w14:val="tx1"/>
            </w14:solidFill>
          </w14:textFill>
        </w:rPr>
      </w:pPr>
      <w:r>
        <w:rPr>
          <w:rFonts w:hint="eastAsia" w:ascii="黑体" w:hAnsi="黑体" w:eastAsia="黑体" w:cs="黑体"/>
          <w:color w:val="000000" w:themeColor="text1"/>
          <w:szCs w:val="22"/>
          <w14:textFill>
            <w14:solidFill>
              <w14:schemeClr w14:val="tx1"/>
            </w14:solidFill>
          </w14:textFill>
        </w:rPr>
        <w:t xml:space="preserve">   </w:t>
      </w:r>
      <w:r>
        <w:rPr>
          <w:rFonts w:hint="eastAsia" w:cs="黑体" w:asciiTheme="minorEastAsia" w:hAnsiTheme="minorEastAsia" w:eastAsiaTheme="minorEastAsia"/>
          <w:color w:val="000000" w:themeColor="text1"/>
          <w:szCs w:val="22"/>
          <w14:textFill>
            <w14:solidFill>
              <w14:schemeClr w14:val="tx1"/>
            </w14:solidFill>
          </w14:textFill>
        </w:rPr>
        <w:t xml:space="preserve"> </w:t>
      </w:r>
      <w:r>
        <w:rPr>
          <w:rFonts w:hint="eastAsia" w:cs="黑体" w:asciiTheme="minorEastAsia" w:hAnsiTheme="minorEastAsia" w:eastAsiaTheme="minorEastAsia"/>
          <w:color w:val="000000" w:themeColor="text1"/>
          <w:szCs w:val="22"/>
          <w:lang w:val="en-US" w:eastAsia="zh-CN"/>
          <w14:textFill>
            <w14:solidFill>
              <w14:schemeClr w14:val="tx1"/>
            </w14:solidFill>
          </w14:textFill>
        </w:rPr>
        <w:t>东海西红柿感官指标</w:t>
      </w:r>
      <w:r>
        <w:rPr>
          <w:rFonts w:hint="eastAsia" w:cs="黑体" w:asciiTheme="minorEastAsia" w:hAnsiTheme="minorEastAsia" w:eastAsiaTheme="minorEastAsia"/>
          <w:color w:val="000000" w:themeColor="text1"/>
          <w:szCs w:val="22"/>
          <w14:textFill>
            <w14:solidFill>
              <w14:schemeClr w14:val="tx1"/>
            </w14:solidFill>
          </w14:textFill>
        </w:rPr>
        <w:t>见表1。</w:t>
      </w:r>
    </w:p>
    <w:p>
      <w:pPr>
        <w:adjustRightInd w:val="0"/>
        <w:snapToGrid w:val="0"/>
        <w:spacing w:before="156" w:beforeLines="50" w:after="156" w:afterLines="50" w:line="360" w:lineRule="auto"/>
        <w:jc w:val="center"/>
        <w:rPr>
          <w:rFonts w:ascii="黑体" w:hAnsi="黑体" w:eastAsia="黑体" w:cs="黑体"/>
          <w:color w:val="000000" w:themeColor="text1"/>
          <w:szCs w:val="22"/>
          <w14:textFill>
            <w14:solidFill>
              <w14:schemeClr w14:val="tx1"/>
            </w14:solidFill>
          </w14:textFill>
        </w:rPr>
      </w:pPr>
      <w:r>
        <w:rPr>
          <w:rFonts w:hint="eastAsia" w:ascii="黑体" w:hAnsi="黑体" w:eastAsia="黑体" w:cs="黑体"/>
          <w:color w:val="000000" w:themeColor="text1"/>
          <w:szCs w:val="22"/>
          <w14:textFill>
            <w14:solidFill>
              <w14:schemeClr w14:val="tx1"/>
            </w14:solidFill>
          </w14:textFill>
        </w:rPr>
        <w:t>表1 感官指标</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4"/>
        <w:gridCol w:w="67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1414" w:type="dxa"/>
            <w:vAlign w:val="center"/>
          </w:tcPr>
          <w:p>
            <w:pPr>
              <w:adjustRightInd w:val="0"/>
              <w:snapToGrid w:val="0"/>
              <w:spacing w:line="240" w:lineRule="auto"/>
              <w:jc w:val="center"/>
              <w:rPr>
                <w:rFonts w:cs="黑体" w:asciiTheme="minorEastAsia" w:hAnsiTheme="minorEastAsia" w:eastAsiaTheme="minorEastAsia"/>
                <w:color w:val="000000" w:themeColor="text1"/>
                <w:sz w:val="18"/>
                <w:szCs w:val="18"/>
                <w14:textFill>
                  <w14:solidFill>
                    <w14:schemeClr w14:val="tx1"/>
                  </w14:solidFill>
                </w14:textFill>
              </w:rPr>
            </w:pPr>
            <w:r>
              <w:rPr>
                <w:rFonts w:hint="eastAsia" w:cs="黑体" w:asciiTheme="minorEastAsia" w:hAnsiTheme="minorEastAsia" w:eastAsiaTheme="minorEastAsia"/>
                <w:color w:val="000000" w:themeColor="text1"/>
                <w:sz w:val="18"/>
                <w:szCs w:val="18"/>
                <w14:textFill>
                  <w14:solidFill>
                    <w14:schemeClr w14:val="tx1"/>
                  </w14:solidFill>
                </w14:textFill>
              </w:rPr>
              <w:t>项目</w:t>
            </w:r>
          </w:p>
        </w:tc>
        <w:tc>
          <w:tcPr>
            <w:tcW w:w="6792" w:type="dxa"/>
            <w:vAlign w:val="center"/>
          </w:tcPr>
          <w:p>
            <w:pPr>
              <w:adjustRightInd w:val="0"/>
              <w:snapToGrid w:val="0"/>
              <w:spacing w:line="240" w:lineRule="auto"/>
              <w:jc w:val="center"/>
              <w:rPr>
                <w:rFonts w:cs="黑体" w:asciiTheme="minorEastAsia" w:hAnsiTheme="minorEastAsia" w:eastAsiaTheme="minorEastAsia"/>
                <w:color w:val="000000" w:themeColor="text1"/>
                <w:sz w:val="18"/>
                <w:szCs w:val="18"/>
                <w14:textFill>
                  <w14:solidFill>
                    <w14:schemeClr w14:val="tx1"/>
                  </w14:solidFill>
                </w14:textFill>
              </w:rPr>
            </w:pPr>
            <w:r>
              <w:rPr>
                <w:rFonts w:hint="eastAsia" w:cs="黑体" w:asciiTheme="minorEastAsia" w:hAnsiTheme="minorEastAsia" w:eastAsiaTheme="minorEastAsia"/>
                <w:color w:val="000000" w:themeColor="text1"/>
                <w:sz w:val="18"/>
                <w:szCs w:val="18"/>
                <w14:textFill>
                  <w14:solidFill>
                    <w14:schemeClr w14:val="tx1"/>
                  </w14:solidFill>
                </w14:textFill>
              </w:rPr>
              <w:t>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1414" w:type="dxa"/>
            <w:vAlign w:val="center"/>
          </w:tcPr>
          <w:p>
            <w:pPr>
              <w:adjustRightInd w:val="0"/>
              <w:snapToGrid w:val="0"/>
              <w:spacing w:line="240" w:lineRule="auto"/>
              <w:jc w:val="center"/>
              <w:rPr>
                <w:rFonts w:cs="黑体" w:asciiTheme="minorEastAsia" w:hAnsiTheme="minorEastAsia" w:eastAsiaTheme="minorEastAsia"/>
                <w:color w:val="000000" w:themeColor="text1"/>
                <w:sz w:val="18"/>
                <w:szCs w:val="18"/>
                <w14:textFill>
                  <w14:solidFill>
                    <w14:schemeClr w14:val="tx1"/>
                  </w14:solidFill>
                </w14:textFill>
              </w:rPr>
            </w:pPr>
            <w:r>
              <w:rPr>
                <w:rFonts w:hint="eastAsia" w:cs="黑体" w:asciiTheme="minorEastAsia" w:hAnsiTheme="minorEastAsia" w:eastAsiaTheme="minorEastAsia"/>
                <w:color w:val="000000" w:themeColor="text1"/>
                <w:sz w:val="18"/>
                <w:szCs w:val="18"/>
                <w14:textFill>
                  <w14:solidFill>
                    <w14:schemeClr w14:val="tx1"/>
                  </w14:solidFill>
                </w14:textFill>
              </w:rPr>
              <w:t>形态</w:t>
            </w:r>
          </w:p>
        </w:tc>
        <w:tc>
          <w:tcPr>
            <w:tcW w:w="6792" w:type="dxa"/>
            <w:vAlign w:val="center"/>
          </w:tcPr>
          <w:p>
            <w:pPr>
              <w:adjustRightInd w:val="0"/>
              <w:snapToGrid w:val="0"/>
              <w:spacing w:line="240" w:lineRule="auto"/>
              <w:jc w:val="left"/>
              <w:rPr>
                <w:rFonts w:cs="黑体" w:asciiTheme="minorEastAsia" w:hAnsiTheme="minorEastAsia" w:eastAsiaTheme="minorEastAsia"/>
                <w:color w:val="000000" w:themeColor="text1"/>
                <w:sz w:val="18"/>
                <w:szCs w:val="18"/>
                <w14:textFill>
                  <w14:solidFill>
                    <w14:schemeClr w14:val="tx1"/>
                  </w14:solidFill>
                </w14:textFill>
              </w:rPr>
            </w:pPr>
            <w:r>
              <w:rPr>
                <w:rFonts w:hint="eastAsia" w:cs="黑体" w:asciiTheme="minorEastAsia" w:hAnsiTheme="minorEastAsia" w:eastAsiaTheme="minorEastAsia"/>
                <w:color w:val="000000" w:themeColor="text1"/>
                <w:sz w:val="18"/>
                <w:szCs w:val="18"/>
                <w14:textFill>
                  <w14:solidFill>
                    <w14:schemeClr w14:val="tx1"/>
                  </w14:solidFill>
                </w14:textFill>
              </w:rPr>
              <w:t>果形端正圆润，呈扁圆球形或椭圆形，无畸形果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1414" w:type="dxa"/>
            <w:vAlign w:val="center"/>
          </w:tcPr>
          <w:p>
            <w:pPr>
              <w:adjustRightInd w:val="0"/>
              <w:snapToGrid w:val="0"/>
              <w:spacing w:line="240" w:lineRule="auto"/>
              <w:jc w:val="center"/>
              <w:rPr>
                <w:rFonts w:cs="黑体" w:asciiTheme="minorEastAsia" w:hAnsiTheme="minorEastAsia" w:eastAsiaTheme="minorEastAsia"/>
                <w:color w:val="000000" w:themeColor="text1"/>
                <w:sz w:val="18"/>
                <w:szCs w:val="18"/>
                <w14:textFill>
                  <w14:solidFill>
                    <w14:schemeClr w14:val="tx1"/>
                  </w14:solidFill>
                </w14:textFill>
              </w:rPr>
            </w:pPr>
            <w:r>
              <w:rPr>
                <w:rFonts w:hint="eastAsia" w:cs="黑体" w:asciiTheme="minorEastAsia" w:hAnsiTheme="minorEastAsia" w:eastAsiaTheme="minorEastAsia"/>
                <w:color w:val="000000" w:themeColor="text1"/>
                <w:sz w:val="18"/>
                <w:szCs w:val="18"/>
                <w14:textFill>
                  <w14:solidFill>
                    <w14:schemeClr w14:val="tx1"/>
                  </w14:solidFill>
                </w14:textFill>
              </w:rPr>
              <w:t>色泽</w:t>
            </w:r>
          </w:p>
        </w:tc>
        <w:tc>
          <w:tcPr>
            <w:tcW w:w="6792" w:type="dxa"/>
            <w:vAlign w:val="center"/>
          </w:tcPr>
          <w:p>
            <w:pPr>
              <w:adjustRightInd w:val="0"/>
              <w:snapToGrid w:val="0"/>
              <w:spacing w:line="240" w:lineRule="auto"/>
              <w:jc w:val="left"/>
              <w:rPr>
                <w:rFonts w:cs="黑体" w:asciiTheme="minorEastAsia" w:hAnsiTheme="minorEastAsia" w:eastAsiaTheme="minorEastAsia"/>
                <w:color w:val="000000" w:themeColor="text1"/>
                <w:sz w:val="18"/>
                <w:szCs w:val="18"/>
                <w14:textFill>
                  <w14:solidFill>
                    <w14:schemeClr w14:val="tx1"/>
                  </w14:solidFill>
                </w14:textFill>
              </w:rPr>
            </w:pPr>
            <w:r>
              <w:rPr>
                <w:rFonts w:hint="eastAsia" w:cs="黑体" w:asciiTheme="minorEastAsia" w:hAnsiTheme="minorEastAsia" w:eastAsiaTheme="minorEastAsia"/>
                <w:color w:val="000000" w:themeColor="text1"/>
                <w:sz w:val="18"/>
                <w:szCs w:val="18"/>
                <w14:textFill>
                  <w14:solidFill>
                    <w14:schemeClr w14:val="tx1"/>
                  </w14:solidFill>
                </w14:textFill>
              </w:rPr>
              <w:t>色泽均匀，艳丽鲜红，油亮光泽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1414" w:type="dxa"/>
            <w:vAlign w:val="center"/>
          </w:tcPr>
          <w:p>
            <w:pPr>
              <w:adjustRightInd w:val="0"/>
              <w:snapToGrid w:val="0"/>
              <w:spacing w:line="240" w:lineRule="auto"/>
              <w:jc w:val="center"/>
              <w:rPr>
                <w:rFonts w:cs="黑体" w:asciiTheme="minorEastAsia" w:hAnsiTheme="minorEastAsia" w:eastAsiaTheme="minorEastAsia"/>
                <w:color w:val="000000" w:themeColor="text1"/>
                <w:sz w:val="18"/>
                <w:szCs w:val="18"/>
                <w14:textFill>
                  <w14:solidFill>
                    <w14:schemeClr w14:val="tx1"/>
                  </w14:solidFill>
                </w14:textFill>
              </w:rPr>
            </w:pPr>
            <w:r>
              <w:rPr>
                <w:rFonts w:hint="eastAsia" w:cs="黑体" w:asciiTheme="minorEastAsia" w:hAnsiTheme="minorEastAsia" w:eastAsiaTheme="minorEastAsia"/>
                <w:color w:val="000000" w:themeColor="text1"/>
                <w:sz w:val="18"/>
                <w:szCs w:val="18"/>
                <w14:textFill>
                  <w14:solidFill>
                    <w14:schemeClr w14:val="tx1"/>
                  </w14:solidFill>
                </w14:textFill>
              </w:rPr>
              <w:t>滋味及风味</w:t>
            </w:r>
          </w:p>
        </w:tc>
        <w:tc>
          <w:tcPr>
            <w:tcW w:w="6792" w:type="dxa"/>
            <w:vAlign w:val="center"/>
          </w:tcPr>
          <w:p>
            <w:pPr>
              <w:adjustRightInd w:val="0"/>
              <w:snapToGrid w:val="0"/>
              <w:spacing w:line="240" w:lineRule="auto"/>
              <w:jc w:val="left"/>
              <w:rPr>
                <w:rFonts w:cs="黑体" w:asciiTheme="minorEastAsia" w:hAnsiTheme="minorEastAsia" w:eastAsiaTheme="minorEastAsia"/>
                <w:color w:val="000000" w:themeColor="text1"/>
                <w:sz w:val="18"/>
                <w:szCs w:val="18"/>
                <w14:textFill>
                  <w14:solidFill>
                    <w14:schemeClr w14:val="tx1"/>
                  </w14:solidFill>
                </w14:textFill>
              </w:rPr>
            </w:pPr>
            <w:r>
              <w:rPr>
                <w:rFonts w:hint="eastAsia" w:cs="黑体" w:asciiTheme="minorEastAsia" w:hAnsiTheme="minorEastAsia" w:eastAsiaTheme="minorEastAsia"/>
                <w:color w:val="000000" w:themeColor="text1"/>
                <w:sz w:val="18"/>
                <w:szCs w:val="18"/>
                <w14:textFill>
                  <w14:solidFill>
                    <w14:schemeClr w14:val="tx1"/>
                  </w14:solidFill>
                </w14:textFill>
              </w:rPr>
              <w:t>酸甜多汁、爽口、风味甜美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1414" w:type="dxa"/>
            <w:vAlign w:val="center"/>
          </w:tcPr>
          <w:p>
            <w:pPr>
              <w:adjustRightInd w:val="0"/>
              <w:snapToGrid w:val="0"/>
              <w:spacing w:line="240" w:lineRule="auto"/>
              <w:jc w:val="center"/>
              <w:rPr>
                <w:rFonts w:cs="黑体" w:asciiTheme="minorEastAsia" w:hAnsiTheme="minorEastAsia" w:eastAsiaTheme="minorEastAsia"/>
                <w:color w:val="000000" w:themeColor="text1"/>
                <w:sz w:val="18"/>
                <w:szCs w:val="18"/>
                <w14:textFill>
                  <w14:solidFill>
                    <w14:schemeClr w14:val="tx1"/>
                  </w14:solidFill>
                </w14:textFill>
              </w:rPr>
            </w:pPr>
            <w:r>
              <w:rPr>
                <w:rFonts w:hint="eastAsia" w:cs="黑体" w:asciiTheme="minorEastAsia" w:hAnsiTheme="minorEastAsia" w:eastAsiaTheme="minorEastAsia"/>
                <w:color w:val="000000" w:themeColor="text1"/>
                <w:sz w:val="18"/>
                <w:szCs w:val="18"/>
                <w14:textFill>
                  <w14:solidFill>
                    <w14:schemeClr w14:val="tx1"/>
                  </w14:solidFill>
                </w14:textFill>
              </w:rPr>
              <w:t>果实成熟度</w:t>
            </w:r>
          </w:p>
        </w:tc>
        <w:tc>
          <w:tcPr>
            <w:tcW w:w="6792" w:type="dxa"/>
            <w:vAlign w:val="center"/>
          </w:tcPr>
          <w:p>
            <w:pPr>
              <w:adjustRightInd w:val="0"/>
              <w:snapToGrid w:val="0"/>
              <w:spacing w:line="240" w:lineRule="auto"/>
              <w:jc w:val="left"/>
              <w:rPr>
                <w:rFonts w:cs="黑体" w:asciiTheme="minorEastAsia" w:hAnsiTheme="minorEastAsia" w:eastAsiaTheme="minorEastAsia"/>
                <w:color w:val="000000" w:themeColor="text1"/>
                <w:sz w:val="18"/>
                <w:szCs w:val="18"/>
                <w14:textFill>
                  <w14:solidFill>
                    <w14:schemeClr w14:val="tx1"/>
                  </w14:solidFill>
                </w14:textFill>
              </w:rPr>
            </w:pPr>
            <w:r>
              <w:rPr>
                <w:rFonts w:hint="eastAsia" w:cs="黑体" w:asciiTheme="minorEastAsia" w:hAnsiTheme="minorEastAsia" w:eastAsiaTheme="minorEastAsia"/>
                <w:color w:val="000000" w:themeColor="text1"/>
                <w:sz w:val="18"/>
                <w:szCs w:val="18"/>
                <w14:textFill>
                  <w14:solidFill>
                    <w14:schemeClr w14:val="tx1"/>
                  </w14:solidFill>
                </w14:textFill>
              </w:rPr>
              <w:t>隔1日上市鲜销的，收购时应达七至八成熟；隔2日上市鲜销的应达五至六成熟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1414" w:type="dxa"/>
            <w:vAlign w:val="center"/>
          </w:tcPr>
          <w:p>
            <w:pPr>
              <w:adjustRightInd w:val="0"/>
              <w:snapToGrid w:val="0"/>
              <w:spacing w:line="240" w:lineRule="auto"/>
              <w:jc w:val="center"/>
              <w:rPr>
                <w:rFonts w:cs="黑体" w:asciiTheme="minorEastAsia" w:hAnsiTheme="minorEastAsia" w:eastAsiaTheme="minorEastAsia"/>
                <w:color w:val="000000" w:themeColor="text1"/>
                <w:sz w:val="18"/>
                <w:szCs w:val="18"/>
                <w14:textFill>
                  <w14:solidFill>
                    <w14:schemeClr w14:val="tx1"/>
                  </w14:solidFill>
                </w14:textFill>
              </w:rPr>
            </w:pPr>
            <w:r>
              <w:rPr>
                <w:rFonts w:hint="eastAsia" w:cs="黑体" w:asciiTheme="minorEastAsia" w:hAnsiTheme="minorEastAsia" w:eastAsiaTheme="minorEastAsia"/>
                <w:color w:val="000000" w:themeColor="text1"/>
                <w:sz w:val="18"/>
                <w:szCs w:val="18"/>
                <w14:textFill>
                  <w14:solidFill>
                    <w14:schemeClr w14:val="tx1"/>
                  </w14:solidFill>
                </w14:textFill>
              </w:rPr>
              <w:t>果实新鲜度</w:t>
            </w:r>
          </w:p>
        </w:tc>
        <w:tc>
          <w:tcPr>
            <w:tcW w:w="6792" w:type="dxa"/>
            <w:vAlign w:val="center"/>
          </w:tcPr>
          <w:p>
            <w:pPr>
              <w:adjustRightInd w:val="0"/>
              <w:snapToGrid w:val="0"/>
              <w:spacing w:line="240" w:lineRule="auto"/>
              <w:jc w:val="left"/>
              <w:rPr>
                <w:rFonts w:cs="黑体" w:asciiTheme="minorEastAsia" w:hAnsiTheme="minorEastAsia" w:eastAsiaTheme="minorEastAsia"/>
                <w:color w:val="000000" w:themeColor="text1"/>
                <w:sz w:val="18"/>
                <w:szCs w:val="18"/>
                <w14:textFill>
                  <w14:solidFill>
                    <w14:schemeClr w14:val="tx1"/>
                  </w14:solidFill>
                </w14:textFill>
              </w:rPr>
            </w:pPr>
            <w:r>
              <w:rPr>
                <w:rFonts w:hint="eastAsia" w:cs="黑体" w:asciiTheme="minorEastAsia" w:hAnsiTheme="minorEastAsia" w:eastAsiaTheme="minorEastAsia"/>
                <w:color w:val="000000" w:themeColor="text1"/>
                <w:sz w:val="18"/>
                <w:szCs w:val="18"/>
                <w14:textFill>
                  <w14:solidFill>
                    <w14:schemeClr w14:val="tx1"/>
                  </w14:solidFill>
                </w14:textFill>
              </w:rPr>
              <w:t>果实有光泽、新鲜不萎蔫、表皮清洁，具有该品种独特风味，无异味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1414" w:type="dxa"/>
            <w:vAlign w:val="center"/>
          </w:tcPr>
          <w:p>
            <w:pPr>
              <w:adjustRightInd w:val="0"/>
              <w:snapToGrid w:val="0"/>
              <w:spacing w:line="240" w:lineRule="auto"/>
              <w:jc w:val="center"/>
              <w:rPr>
                <w:rFonts w:cs="黑体" w:asciiTheme="minorEastAsia" w:hAnsiTheme="minorEastAsia" w:eastAsiaTheme="minorEastAsia"/>
                <w:color w:val="000000" w:themeColor="text1"/>
                <w:sz w:val="18"/>
                <w:szCs w:val="18"/>
                <w14:textFill>
                  <w14:solidFill>
                    <w14:schemeClr w14:val="tx1"/>
                  </w14:solidFill>
                </w14:textFill>
              </w:rPr>
            </w:pPr>
            <w:r>
              <w:rPr>
                <w:rFonts w:hint="eastAsia" w:cs="黑体" w:asciiTheme="minorEastAsia" w:hAnsiTheme="minorEastAsia" w:eastAsiaTheme="minorEastAsia"/>
                <w:color w:val="000000" w:themeColor="text1"/>
                <w:sz w:val="18"/>
                <w:szCs w:val="18"/>
                <w14:textFill>
                  <w14:solidFill>
                    <w14:schemeClr w14:val="tx1"/>
                  </w14:solidFill>
                </w14:textFill>
              </w:rPr>
              <w:t>果实硬度</w:t>
            </w:r>
          </w:p>
        </w:tc>
        <w:tc>
          <w:tcPr>
            <w:tcW w:w="6792" w:type="dxa"/>
            <w:vAlign w:val="center"/>
          </w:tcPr>
          <w:p>
            <w:pPr>
              <w:adjustRightInd w:val="0"/>
              <w:snapToGrid w:val="0"/>
              <w:spacing w:line="240" w:lineRule="auto"/>
              <w:jc w:val="left"/>
              <w:rPr>
                <w:rFonts w:cs="黑体" w:asciiTheme="minorEastAsia" w:hAnsiTheme="minorEastAsia" w:eastAsiaTheme="minorEastAsia"/>
                <w:color w:val="000000" w:themeColor="text1"/>
                <w:sz w:val="18"/>
                <w:szCs w:val="18"/>
                <w14:textFill>
                  <w14:solidFill>
                    <w14:schemeClr w14:val="tx1"/>
                  </w14:solidFill>
                </w14:textFill>
              </w:rPr>
            </w:pPr>
            <w:r>
              <w:rPr>
                <w:rFonts w:hint="eastAsia" w:cs="黑体" w:asciiTheme="minorEastAsia" w:hAnsiTheme="minorEastAsia" w:eastAsiaTheme="minorEastAsia"/>
                <w:color w:val="000000" w:themeColor="text1"/>
                <w:sz w:val="18"/>
                <w:szCs w:val="18"/>
                <w14:textFill>
                  <w14:solidFill>
                    <w14:schemeClr w14:val="tx1"/>
                  </w14:solidFill>
                </w14:textFill>
              </w:rPr>
              <w:t>果腔充实，果实坚实，富有弹性，无裂痕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1414" w:type="dxa"/>
            <w:vAlign w:val="center"/>
          </w:tcPr>
          <w:p>
            <w:pPr>
              <w:adjustRightInd w:val="0"/>
              <w:snapToGrid w:val="0"/>
              <w:spacing w:line="240" w:lineRule="auto"/>
              <w:jc w:val="center"/>
              <w:rPr>
                <w:rFonts w:cs="黑体" w:asciiTheme="minorEastAsia" w:hAnsiTheme="minorEastAsia" w:eastAsiaTheme="minorEastAsia"/>
                <w:color w:val="000000" w:themeColor="text1"/>
                <w:sz w:val="18"/>
                <w:szCs w:val="18"/>
                <w14:textFill>
                  <w14:solidFill>
                    <w14:schemeClr w14:val="tx1"/>
                  </w14:solidFill>
                </w14:textFill>
              </w:rPr>
            </w:pPr>
            <w:r>
              <w:rPr>
                <w:rFonts w:hint="eastAsia" w:cs="黑体" w:asciiTheme="minorEastAsia" w:hAnsiTheme="minorEastAsia" w:eastAsiaTheme="minorEastAsia"/>
                <w:color w:val="000000" w:themeColor="text1"/>
                <w:sz w:val="18"/>
                <w:szCs w:val="18"/>
                <w14:textFill>
                  <w14:solidFill>
                    <w14:schemeClr w14:val="tx1"/>
                  </w14:solidFill>
                </w14:textFill>
              </w:rPr>
              <w:t>规格</w:t>
            </w:r>
          </w:p>
        </w:tc>
        <w:tc>
          <w:tcPr>
            <w:tcW w:w="6792" w:type="dxa"/>
            <w:vAlign w:val="center"/>
          </w:tcPr>
          <w:p>
            <w:pPr>
              <w:adjustRightInd w:val="0"/>
              <w:snapToGrid w:val="0"/>
              <w:spacing w:line="240" w:lineRule="auto"/>
              <w:jc w:val="left"/>
              <w:rPr>
                <w:rFonts w:cs="黑体" w:asciiTheme="minorEastAsia" w:hAnsiTheme="minorEastAsia" w:eastAsiaTheme="minorEastAsia"/>
                <w:color w:val="000000" w:themeColor="text1"/>
                <w:sz w:val="18"/>
                <w:szCs w:val="18"/>
                <w14:textFill>
                  <w14:solidFill>
                    <w14:schemeClr w14:val="tx1"/>
                  </w14:solidFill>
                </w14:textFill>
              </w:rPr>
            </w:pPr>
            <w:r>
              <w:rPr>
                <w:rFonts w:hint="eastAsia" w:cs="黑体" w:asciiTheme="minorEastAsia" w:hAnsiTheme="minorEastAsia" w:eastAsiaTheme="minorEastAsia"/>
                <w:color w:val="000000" w:themeColor="text1"/>
                <w:sz w:val="18"/>
                <w:szCs w:val="18"/>
                <w14:textFill>
                  <w14:solidFill>
                    <w14:schemeClr w14:val="tx1"/>
                  </w14:solidFill>
                </w14:textFill>
              </w:rPr>
              <w:t>果实大小一致，单果</w:t>
            </w:r>
            <w:r>
              <w:rPr>
                <w:rFonts w:hint="eastAsia" w:cs="黑体" w:asciiTheme="minorEastAsia" w:hAnsiTheme="minorEastAsia" w:eastAsiaTheme="minorEastAsia"/>
                <w:color w:val="auto"/>
                <w:sz w:val="18"/>
                <w:szCs w:val="18"/>
              </w:rPr>
              <w:t>重150 g～ 180 g</w:t>
            </w:r>
          </w:p>
        </w:tc>
      </w:tr>
    </w:tbl>
    <w:p>
      <w:pPr>
        <w:adjustRightInd w:val="0"/>
        <w:snapToGrid w:val="0"/>
        <w:spacing w:before="156" w:beforeLines="50" w:after="156" w:afterLines="50" w:line="240" w:lineRule="auto"/>
        <w:jc w:val="left"/>
        <w:rPr>
          <w:rFonts w:ascii="黑体" w:hAnsi="黑体" w:eastAsia="黑体" w:cs="黑体"/>
          <w:color w:val="000000" w:themeColor="text1"/>
          <w:szCs w:val="22"/>
          <w14:textFill>
            <w14:solidFill>
              <w14:schemeClr w14:val="tx1"/>
            </w14:solidFill>
          </w14:textFill>
        </w:rPr>
      </w:pPr>
      <w:r>
        <w:rPr>
          <w:rFonts w:hint="eastAsia" w:ascii="黑体" w:hAnsi="黑体" w:eastAsia="黑体" w:cs="黑体"/>
          <w:color w:val="000000" w:themeColor="text1"/>
          <w:szCs w:val="22"/>
          <w:lang w:val="en-US" w:eastAsia="zh-CN"/>
          <w14:textFill>
            <w14:solidFill>
              <w14:schemeClr w14:val="tx1"/>
            </w14:solidFill>
          </w14:textFill>
        </w:rPr>
        <w:t>7</w:t>
      </w:r>
      <w:r>
        <w:rPr>
          <w:rFonts w:hint="eastAsia" w:ascii="黑体" w:hAnsi="黑体" w:eastAsia="黑体" w:cs="黑体"/>
          <w:color w:val="000000" w:themeColor="text1"/>
          <w:szCs w:val="22"/>
          <w14:textFill>
            <w14:solidFill>
              <w14:schemeClr w14:val="tx1"/>
            </w14:solidFill>
          </w14:textFill>
        </w:rPr>
        <w:t>.2 理化指标</w:t>
      </w:r>
    </w:p>
    <w:p>
      <w:pPr>
        <w:adjustRightInd w:val="0"/>
        <w:snapToGrid w:val="0"/>
        <w:spacing w:line="240" w:lineRule="auto"/>
        <w:ind w:firstLine="408"/>
        <w:jc w:val="left"/>
        <w:rPr>
          <w:rFonts w:cs="黑体" w:asciiTheme="minorEastAsia" w:hAnsiTheme="minorEastAsia" w:eastAsiaTheme="minorEastAsia"/>
          <w:color w:val="000000" w:themeColor="text1"/>
          <w:szCs w:val="22"/>
          <w14:textFill>
            <w14:solidFill>
              <w14:schemeClr w14:val="tx1"/>
            </w14:solidFill>
          </w14:textFill>
        </w:rPr>
      </w:pPr>
      <w:r>
        <w:rPr>
          <w:rFonts w:hint="eastAsia" w:cs="黑体" w:asciiTheme="minorEastAsia" w:hAnsiTheme="minorEastAsia" w:eastAsiaTheme="minorEastAsia"/>
          <w:color w:val="000000" w:themeColor="text1"/>
          <w:szCs w:val="22"/>
          <w:lang w:val="en-US" w:eastAsia="zh-CN"/>
          <w14:textFill>
            <w14:solidFill>
              <w14:schemeClr w14:val="tx1"/>
            </w14:solidFill>
          </w14:textFill>
        </w:rPr>
        <w:t>东海西红柿理化指标</w:t>
      </w:r>
      <w:r>
        <w:rPr>
          <w:rFonts w:hint="eastAsia" w:cs="黑体" w:asciiTheme="minorEastAsia" w:hAnsiTheme="minorEastAsia" w:eastAsiaTheme="minorEastAsia"/>
          <w:color w:val="000000" w:themeColor="text1"/>
          <w:szCs w:val="22"/>
          <w14:textFill>
            <w14:solidFill>
              <w14:schemeClr w14:val="tx1"/>
            </w14:solidFill>
          </w14:textFill>
        </w:rPr>
        <w:t>见表2。</w:t>
      </w:r>
    </w:p>
    <w:p>
      <w:pPr>
        <w:adjustRightInd w:val="0"/>
        <w:snapToGrid w:val="0"/>
        <w:spacing w:line="240" w:lineRule="auto"/>
        <w:ind w:firstLine="408"/>
        <w:jc w:val="center"/>
        <w:rPr>
          <w:rFonts w:ascii="黑体" w:hAnsi="黑体" w:eastAsia="黑体" w:cs="黑体"/>
          <w:color w:val="000000" w:themeColor="text1"/>
          <w:szCs w:val="22"/>
          <w14:textFill>
            <w14:solidFill>
              <w14:schemeClr w14:val="tx1"/>
            </w14:solidFill>
          </w14:textFill>
        </w:rPr>
      </w:pPr>
    </w:p>
    <w:p>
      <w:pPr>
        <w:adjustRightInd w:val="0"/>
        <w:snapToGrid w:val="0"/>
        <w:spacing w:line="240" w:lineRule="auto"/>
        <w:ind w:firstLine="408"/>
        <w:jc w:val="center"/>
        <w:rPr>
          <w:rFonts w:ascii="黑体" w:hAnsi="黑体" w:eastAsia="黑体" w:cs="黑体"/>
          <w:color w:val="000000" w:themeColor="text1"/>
          <w:szCs w:val="22"/>
          <w14:textFill>
            <w14:solidFill>
              <w14:schemeClr w14:val="tx1"/>
            </w14:solidFill>
          </w14:textFill>
        </w:rPr>
      </w:pPr>
      <w:r>
        <w:rPr>
          <w:rFonts w:hint="eastAsia" w:ascii="黑体" w:hAnsi="黑体" w:eastAsia="黑体" w:cs="黑体"/>
          <w:color w:val="000000" w:themeColor="text1"/>
          <w:szCs w:val="22"/>
          <w14:textFill>
            <w14:solidFill>
              <w14:schemeClr w14:val="tx1"/>
            </w14:solidFill>
          </w14:textFill>
        </w:rPr>
        <w:t xml:space="preserve">表2 </w:t>
      </w:r>
      <w:r>
        <w:rPr>
          <w:rFonts w:hint="eastAsia" w:ascii="黑体" w:hAnsi="黑体" w:eastAsia="黑体" w:cs="黑体"/>
          <w:color w:val="000000" w:themeColor="text1"/>
          <w:szCs w:val="22"/>
          <w:lang w:val="en-US" w:eastAsia="zh-CN"/>
          <w14:textFill>
            <w14:solidFill>
              <w14:schemeClr w14:val="tx1"/>
            </w14:solidFill>
          </w14:textFill>
        </w:rPr>
        <w:t>理化</w:t>
      </w:r>
      <w:r>
        <w:rPr>
          <w:rFonts w:hint="eastAsia" w:ascii="黑体" w:hAnsi="黑体" w:eastAsia="黑体" w:cs="黑体"/>
          <w:color w:val="000000" w:themeColor="text1"/>
          <w:szCs w:val="22"/>
          <w14:textFill>
            <w14:solidFill>
              <w14:schemeClr w14:val="tx1"/>
            </w14:solidFill>
          </w14:textFill>
        </w:rPr>
        <w:t>指标</w:t>
      </w:r>
    </w:p>
    <w:tbl>
      <w:tblPr>
        <w:tblStyle w:val="9"/>
        <w:tblW w:w="0" w:type="auto"/>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6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1984"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cs="黑体" w:asciiTheme="minorEastAsia" w:hAnsiTheme="minorEastAsia" w:eastAsiaTheme="minorEastAsia"/>
                <w:color w:val="000000" w:themeColor="text1"/>
                <w:sz w:val="18"/>
                <w:szCs w:val="18"/>
                <w14:textFill>
                  <w14:solidFill>
                    <w14:schemeClr w14:val="tx1"/>
                  </w14:solidFill>
                </w14:textFill>
              </w:rPr>
            </w:pPr>
            <w:r>
              <w:rPr>
                <w:rFonts w:hint="eastAsia" w:cs="黑体" w:asciiTheme="minorEastAsia" w:hAnsiTheme="minorEastAsia" w:eastAsiaTheme="minorEastAsia"/>
                <w:color w:val="000000" w:themeColor="text1"/>
                <w:sz w:val="18"/>
                <w:szCs w:val="18"/>
                <w14:textFill>
                  <w14:solidFill>
                    <w14:schemeClr w14:val="tx1"/>
                  </w14:solidFill>
                </w14:textFill>
              </w:rPr>
              <w:t>项目</w:t>
            </w:r>
          </w:p>
        </w:tc>
        <w:tc>
          <w:tcPr>
            <w:tcW w:w="6237"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cs="黑体" w:asciiTheme="minorEastAsia" w:hAnsiTheme="minorEastAsia" w:eastAsiaTheme="minorEastAsia"/>
                <w:color w:val="000000" w:themeColor="text1"/>
                <w:sz w:val="18"/>
                <w:szCs w:val="18"/>
                <w14:textFill>
                  <w14:solidFill>
                    <w14:schemeClr w14:val="tx1"/>
                  </w14:solidFill>
                </w14:textFill>
              </w:rPr>
            </w:pPr>
            <w:r>
              <w:rPr>
                <w:rFonts w:hint="eastAsia" w:cs="黑体" w:asciiTheme="minorEastAsia" w:hAnsiTheme="minorEastAsia" w:eastAsiaTheme="minorEastAsia"/>
                <w:color w:val="000000" w:themeColor="text1"/>
                <w:sz w:val="18"/>
                <w:szCs w:val="18"/>
                <w14:textFill>
                  <w14:solidFill>
                    <w14:schemeClr w14:val="tx1"/>
                  </w14:solidFill>
                </w14:textFill>
              </w:rPr>
              <w:t>指标</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cs="黑体" w:asciiTheme="minorEastAsia" w:hAnsiTheme="minorEastAsia" w:eastAsiaTheme="minorEastAsia"/>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mg/100g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1984"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cs="黑体" w:asciiTheme="minorEastAsia" w:hAnsiTheme="minorEastAsia" w:eastAsiaTheme="minorEastAsia"/>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可溶性固形物</w:t>
            </w:r>
          </w:p>
        </w:tc>
        <w:tc>
          <w:tcPr>
            <w:tcW w:w="6237"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cs="黑体" w:asciiTheme="minorEastAsia" w:hAnsiTheme="minorEastAsia" w:eastAsiaTheme="minorEastAsia"/>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9" w:hRule="atLeast"/>
        </w:trPr>
        <w:tc>
          <w:tcPr>
            <w:tcW w:w="1984"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cs="黑体" w:asciiTheme="minorEastAsia" w:hAnsiTheme="minorEastAsia" w:eastAsiaTheme="minorEastAsia"/>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维生素C</w:t>
            </w:r>
          </w:p>
        </w:tc>
        <w:tc>
          <w:tcPr>
            <w:tcW w:w="6237"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cs="黑体" w:asciiTheme="minorEastAsia" w:hAnsiTheme="minorEastAsia" w:eastAsiaTheme="minorEastAsia"/>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≥16.5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1984"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cs="黑体" w:asciiTheme="minorEastAsia" w:hAnsiTheme="minorEastAsia" w:eastAsiaTheme="minorEastAsia"/>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番茄红素</w:t>
            </w:r>
          </w:p>
        </w:tc>
        <w:tc>
          <w:tcPr>
            <w:tcW w:w="6237"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cs="黑体" w:asciiTheme="minorEastAsia" w:hAnsiTheme="minorEastAsia" w:eastAsiaTheme="minorEastAsia"/>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≥6.8</w:t>
            </w:r>
          </w:p>
        </w:tc>
      </w:tr>
    </w:tbl>
    <w:p>
      <w:pPr>
        <w:adjustRightInd w:val="0"/>
        <w:snapToGrid w:val="0"/>
        <w:spacing w:before="156" w:beforeLines="50" w:after="156" w:afterLines="50" w:line="360" w:lineRule="auto"/>
        <w:jc w:val="left"/>
        <w:rPr>
          <w:rFonts w:ascii="黑体" w:hAnsi="黑体" w:eastAsia="黑体" w:cs="黑体"/>
          <w:color w:val="000000" w:themeColor="text1"/>
          <w:szCs w:val="22"/>
          <w14:textFill>
            <w14:solidFill>
              <w14:schemeClr w14:val="tx1"/>
            </w14:solidFill>
          </w14:textFill>
        </w:rPr>
      </w:pPr>
      <w:r>
        <w:rPr>
          <w:rFonts w:hint="eastAsia" w:ascii="黑体" w:hAnsi="黑体" w:eastAsia="黑体" w:cs="黑体"/>
          <w:color w:val="000000" w:themeColor="text1"/>
          <w:szCs w:val="22"/>
          <w:lang w:val="en-US" w:eastAsia="zh-CN"/>
          <w14:textFill>
            <w14:solidFill>
              <w14:schemeClr w14:val="tx1"/>
            </w14:solidFill>
          </w14:textFill>
        </w:rPr>
        <w:t>7</w:t>
      </w:r>
      <w:r>
        <w:rPr>
          <w:rFonts w:hint="eastAsia" w:ascii="黑体" w:hAnsi="黑体" w:eastAsia="黑体" w:cs="黑体"/>
          <w:color w:val="000000" w:themeColor="text1"/>
          <w:szCs w:val="22"/>
          <w14:textFill>
            <w14:solidFill>
              <w14:schemeClr w14:val="tx1"/>
            </w14:solidFill>
          </w14:textFill>
        </w:rPr>
        <w:t xml:space="preserve">.3 </w:t>
      </w:r>
      <w:r>
        <w:rPr>
          <w:rFonts w:hint="eastAsia" w:ascii="黑体" w:hAnsi="黑体" w:eastAsia="黑体" w:cs="黑体"/>
          <w:color w:val="000000" w:themeColor="text1"/>
          <w:szCs w:val="22"/>
          <w:lang w:val="en-US" w:eastAsia="zh-CN"/>
          <w14:textFill>
            <w14:solidFill>
              <w14:schemeClr w14:val="tx1"/>
            </w14:solidFill>
          </w14:textFill>
        </w:rPr>
        <w:t>卫生</w:t>
      </w:r>
      <w:r>
        <w:rPr>
          <w:rFonts w:hint="eastAsia" w:ascii="黑体" w:hAnsi="黑体" w:eastAsia="黑体" w:cs="黑体"/>
          <w:color w:val="000000" w:themeColor="text1"/>
          <w:szCs w:val="22"/>
          <w14:textFill>
            <w14:solidFill>
              <w14:schemeClr w14:val="tx1"/>
            </w14:solidFill>
          </w14:textFill>
        </w:rPr>
        <w:t>指标</w:t>
      </w:r>
    </w:p>
    <w:p>
      <w:pPr>
        <w:widowControl/>
        <w:autoSpaceDE w:val="0"/>
        <w:autoSpaceDN w:val="0"/>
        <w:spacing w:line="360" w:lineRule="auto"/>
        <w:ind w:firstLine="420" w:firstLineChars="200"/>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果实的污染物限量应符合GB 2762的规定，农药最大残留量应符合GB 2763的规定。激素类在产品中允许量: 2</w:t>
      </w:r>
      <w:r>
        <w:rPr>
          <w:rFonts w:hint="eastAsia" w:ascii="宋体" w:hAnsi="宋体"/>
          <w:color w:val="000000" w:themeColor="text1"/>
          <w:lang w:val="en-US" w:eastAsia="zh-CN"/>
          <w14:textFill>
            <w14:solidFill>
              <w14:schemeClr w14:val="tx1"/>
            </w14:solidFill>
          </w14:textFill>
        </w:rPr>
        <w:t>,</w:t>
      </w:r>
      <w:r>
        <w:rPr>
          <w:rFonts w:hint="eastAsia" w:ascii="宋体" w:hAnsi="宋体"/>
          <w:color w:val="000000" w:themeColor="text1"/>
          <w14:textFill>
            <w14:solidFill>
              <w14:schemeClr w14:val="tx1"/>
            </w14:solidFill>
          </w14:textFill>
        </w:rPr>
        <w:t>4-D</w:t>
      </w:r>
      <w:r>
        <w:rPr>
          <w:rFonts w:hint="eastAsia" w:ascii="宋体" w:hAnsi="宋体" w:eastAsia="宋体" w:cs="宋体"/>
          <w:color w:val="000000" w:themeColor="text1"/>
          <w14:textFill>
            <w14:solidFill>
              <w14:schemeClr w14:val="tx1"/>
            </w14:solidFill>
          </w14:textFill>
        </w:rPr>
        <w:t>≤</w:t>
      </w:r>
      <w:r>
        <w:rPr>
          <w:rFonts w:hint="eastAsia" w:ascii="宋体" w:hAnsi="宋体"/>
          <w:color w:val="000000" w:themeColor="text1"/>
          <w14:textFill>
            <w14:solidFill>
              <w14:schemeClr w14:val="tx1"/>
            </w14:solidFill>
          </w14:textFill>
        </w:rPr>
        <w:t>0.1 mg/kg，乙烯利</w:t>
      </w:r>
      <w:r>
        <w:rPr>
          <w:rFonts w:hint="eastAsia" w:ascii="宋体" w:hAnsi="宋体" w:eastAsia="宋体" w:cs="宋体"/>
          <w:color w:val="000000" w:themeColor="text1"/>
          <w14:textFill>
            <w14:solidFill>
              <w14:schemeClr w14:val="tx1"/>
            </w14:solidFill>
          </w14:textFill>
        </w:rPr>
        <w:t>≤</w:t>
      </w:r>
      <w:r>
        <w:rPr>
          <w:rFonts w:hint="eastAsia" w:ascii="宋体" w:hAnsi="宋体"/>
          <w:color w:val="000000" w:themeColor="text1"/>
          <w14:textFill>
            <w14:solidFill>
              <w14:schemeClr w14:val="tx1"/>
            </w14:solidFill>
          </w14:textFill>
        </w:rPr>
        <w:t>2 mg/kg。</w:t>
      </w:r>
    </w:p>
    <w:p>
      <w:pPr>
        <w:adjustRightInd w:val="0"/>
        <w:snapToGrid w:val="0"/>
        <w:spacing w:before="312" w:beforeLines="100" w:after="312" w:afterLines="100" w:line="360" w:lineRule="auto"/>
        <w:jc w:val="left"/>
        <w:rPr>
          <w:rFonts w:hint="eastAsia" w:ascii="黑体" w:hAnsi="黑体" w:eastAsia="黑体" w:cs="黑体"/>
          <w:color w:val="000000" w:themeColor="text1"/>
          <w:szCs w:val="22"/>
          <w:lang w:eastAsia="zh-CN"/>
          <w14:textFill>
            <w14:solidFill>
              <w14:schemeClr w14:val="tx1"/>
            </w14:solidFill>
          </w14:textFill>
        </w:rPr>
      </w:pPr>
      <w:r>
        <w:rPr>
          <w:rFonts w:hint="eastAsia" w:ascii="黑体" w:hAnsi="黑体" w:eastAsia="黑体" w:cs="黑体"/>
          <w:color w:val="000000" w:themeColor="text1"/>
          <w:szCs w:val="22"/>
          <w:lang w:val="en-US" w:eastAsia="zh-CN"/>
          <w14:textFill>
            <w14:solidFill>
              <w14:schemeClr w14:val="tx1"/>
            </w14:solidFill>
          </w14:textFill>
        </w:rPr>
        <w:t>8</w:t>
      </w:r>
      <w:r>
        <w:rPr>
          <w:rFonts w:hint="eastAsia" w:ascii="黑体" w:hAnsi="黑体" w:eastAsia="黑体" w:cs="黑体"/>
          <w:color w:val="000000" w:themeColor="text1"/>
          <w:szCs w:val="22"/>
          <w14:textFill>
            <w14:solidFill>
              <w14:schemeClr w14:val="tx1"/>
            </w14:solidFill>
          </w14:textFill>
        </w:rPr>
        <w:t xml:space="preserve"> 检验</w:t>
      </w:r>
      <w:r>
        <w:rPr>
          <w:rFonts w:hint="eastAsia" w:ascii="黑体" w:hAnsi="黑体" w:eastAsia="黑体" w:cs="黑体"/>
          <w:color w:val="000000" w:themeColor="text1"/>
          <w:szCs w:val="22"/>
          <w:lang w:val="en-US" w:eastAsia="zh-CN"/>
          <w14:textFill>
            <w14:solidFill>
              <w14:schemeClr w14:val="tx1"/>
            </w14:solidFill>
          </w14:textFill>
        </w:rPr>
        <w:t>方法</w:t>
      </w:r>
    </w:p>
    <w:p>
      <w:pPr>
        <w:adjustRightInd w:val="0"/>
        <w:snapToGrid w:val="0"/>
        <w:spacing w:before="156" w:beforeLines="50" w:after="156" w:afterLines="50" w:line="360" w:lineRule="auto"/>
        <w:jc w:val="left"/>
        <w:rPr>
          <w:rFonts w:ascii="黑体" w:hAnsi="黑体" w:eastAsia="黑体" w:cs="黑体"/>
          <w:color w:val="000000" w:themeColor="text1"/>
          <w:szCs w:val="22"/>
          <w14:textFill>
            <w14:solidFill>
              <w14:schemeClr w14:val="tx1"/>
            </w14:solidFill>
          </w14:textFill>
        </w:rPr>
      </w:pPr>
      <w:r>
        <w:rPr>
          <w:rFonts w:hint="eastAsia" w:ascii="黑体" w:hAnsi="黑体" w:eastAsia="黑体" w:cs="黑体"/>
          <w:color w:val="000000" w:themeColor="text1"/>
          <w:szCs w:val="22"/>
          <w:lang w:val="en-US" w:eastAsia="zh-CN"/>
          <w14:textFill>
            <w14:solidFill>
              <w14:schemeClr w14:val="tx1"/>
            </w14:solidFill>
          </w14:textFill>
        </w:rPr>
        <w:t>8</w:t>
      </w:r>
      <w:r>
        <w:rPr>
          <w:rFonts w:hint="eastAsia" w:ascii="黑体" w:hAnsi="黑体" w:eastAsia="黑体" w:cs="黑体"/>
          <w:color w:val="000000" w:themeColor="text1"/>
          <w:szCs w:val="22"/>
          <w14:textFill>
            <w14:solidFill>
              <w14:schemeClr w14:val="tx1"/>
            </w14:solidFill>
          </w14:textFill>
        </w:rPr>
        <w:t>.1 组批</w:t>
      </w:r>
    </w:p>
    <w:p>
      <w:pPr>
        <w:widowControl/>
        <w:autoSpaceDE w:val="0"/>
        <w:autoSpaceDN w:val="0"/>
        <w:spacing w:line="360" w:lineRule="auto"/>
        <w:ind w:firstLine="420" w:firstLineChars="200"/>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同一产地、同一品种、同一成熟度、同一包装日期的西红柿作为一个批次。</w:t>
      </w:r>
    </w:p>
    <w:p>
      <w:pPr>
        <w:adjustRightInd w:val="0"/>
        <w:snapToGrid w:val="0"/>
        <w:spacing w:before="156" w:beforeLines="50" w:after="156" w:afterLines="50" w:line="360" w:lineRule="auto"/>
        <w:jc w:val="left"/>
        <w:rPr>
          <w:rFonts w:ascii="黑体" w:hAnsi="黑体" w:eastAsia="黑体" w:cs="黑体"/>
          <w:color w:val="000000" w:themeColor="text1"/>
          <w:szCs w:val="22"/>
          <w14:textFill>
            <w14:solidFill>
              <w14:schemeClr w14:val="tx1"/>
            </w14:solidFill>
          </w14:textFill>
        </w:rPr>
      </w:pPr>
      <w:r>
        <w:rPr>
          <w:rFonts w:hint="eastAsia" w:ascii="黑体" w:hAnsi="黑体" w:eastAsia="黑体" w:cs="黑体"/>
          <w:color w:val="000000" w:themeColor="text1"/>
          <w:szCs w:val="22"/>
          <w:lang w:val="en-US" w:eastAsia="zh-CN"/>
          <w14:textFill>
            <w14:solidFill>
              <w14:schemeClr w14:val="tx1"/>
            </w14:solidFill>
          </w14:textFill>
        </w:rPr>
        <w:t>8</w:t>
      </w:r>
      <w:r>
        <w:rPr>
          <w:rFonts w:hint="eastAsia" w:ascii="黑体" w:hAnsi="黑体" w:eastAsia="黑体" w:cs="黑体"/>
          <w:color w:val="000000" w:themeColor="text1"/>
          <w:szCs w:val="22"/>
          <w14:textFill>
            <w14:solidFill>
              <w14:schemeClr w14:val="tx1"/>
            </w14:solidFill>
          </w14:textFill>
        </w:rPr>
        <w:t>.2 抽样方法</w:t>
      </w:r>
    </w:p>
    <w:p>
      <w:pPr>
        <w:widowControl/>
        <w:autoSpaceDE w:val="0"/>
        <w:autoSpaceDN w:val="0"/>
        <w:spacing w:line="360" w:lineRule="auto"/>
        <w:jc w:val="left"/>
        <w:rPr>
          <w:rFonts w:hint="default" w:ascii="宋体" w:hAnsi="宋体" w:eastAsia="宋体"/>
          <w:color w:val="000000" w:themeColor="text1"/>
          <w:lang w:val="en-US" w:eastAsia="zh-CN"/>
          <w14:textFill>
            <w14:solidFill>
              <w14:schemeClr w14:val="tx1"/>
            </w14:solidFill>
          </w14:textFill>
        </w:rPr>
      </w:pPr>
      <w:r>
        <w:rPr>
          <w:rFonts w:hint="eastAsia" w:ascii="黑体" w:hAnsi="黑体" w:eastAsia="黑体" w:cs="黑体"/>
          <w:color w:val="000000" w:themeColor="text1"/>
          <w:lang w:val="en-US" w:eastAsia="zh-CN"/>
          <w14:textFill>
            <w14:solidFill>
              <w14:schemeClr w14:val="tx1"/>
            </w14:solidFill>
          </w14:textFill>
        </w:rPr>
        <w:t>8</w:t>
      </w:r>
      <w:r>
        <w:rPr>
          <w:rFonts w:hint="eastAsia" w:ascii="黑体" w:hAnsi="黑体" w:eastAsia="黑体" w:cs="黑体"/>
          <w:color w:val="000000" w:themeColor="text1"/>
          <w14:textFill>
            <w14:solidFill>
              <w14:schemeClr w14:val="tx1"/>
            </w14:solidFill>
          </w14:textFill>
        </w:rPr>
        <w:t>.2.1</w:t>
      </w:r>
      <w:r>
        <w:rPr>
          <w:rFonts w:hint="eastAsia" w:ascii="宋体" w:hAnsi="宋体"/>
          <w:color w:val="000000" w:themeColor="text1"/>
          <w14:textFill>
            <w14:solidFill>
              <w14:schemeClr w14:val="tx1"/>
            </w14:solidFill>
          </w14:textFill>
        </w:rPr>
        <w:t xml:space="preserve"> 抽取样品应具有代表性，在整批货物的不同部位</w:t>
      </w:r>
      <w:r>
        <w:rPr>
          <w:rFonts w:hint="eastAsia" w:ascii="宋体" w:hAnsi="宋体"/>
          <w:color w:val="000000" w:themeColor="text1"/>
          <w:lang w:val="en-US" w:eastAsia="zh-CN"/>
          <w14:textFill>
            <w14:solidFill>
              <w14:schemeClr w14:val="tx1"/>
            </w14:solidFill>
          </w14:textFill>
        </w:rPr>
        <w:t>应</w:t>
      </w:r>
      <w:r>
        <w:rPr>
          <w:rFonts w:hint="eastAsia" w:ascii="宋体" w:hAnsi="宋体"/>
          <w:color w:val="000000" w:themeColor="text1"/>
          <w14:textFill>
            <w14:solidFill>
              <w14:schemeClr w14:val="tx1"/>
            </w14:solidFill>
          </w14:textFill>
        </w:rPr>
        <w:t>按</w:t>
      </w:r>
      <w:r>
        <w:rPr>
          <w:rFonts w:hint="eastAsia" w:ascii="宋体" w:hAnsi="宋体"/>
          <w:color w:val="000000" w:themeColor="text1"/>
          <w:lang w:val="en-US" w:eastAsia="zh-CN"/>
          <w14:textFill>
            <w14:solidFill>
              <w14:schemeClr w14:val="tx1"/>
            </w14:solidFill>
          </w14:textFill>
        </w:rPr>
        <w:t>本文件</w:t>
      </w:r>
      <w:r>
        <w:rPr>
          <w:rFonts w:hint="eastAsia" w:ascii="宋体" w:hAnsi="宋体"/>
          <w:color w:val="000000" w:themeColor="text1"/>
          <w14:textFill>
            <w14:solidFill>
              <w14:schemeClr w14:val="tx1"/>
            </w14:solidFill>
          </w14:textFill>
        </w:rPr>
        <w:t>9.2.2规定的数量抽取样品，检验结果适用于整个检验批次。</w:t>
      </w:r>
      <w:r>
        <w:rPr>
          <w:rFonts w:hint="eastAsia" w:ascii="宋体" w:hAnsi="宋体"/>
          <w:color w:val="000000" w:themeColor="text1"/>
          <w:lang w:val="en-US" w:eastAsia="zh-CN"/>
          <w14:textFill>
            <w14:solidFill>
              <w14:schemeClr w14:val="tx1"/>
            </w14:solidFill>
          </w14:textFill>
        </w:rPr>
        <w:t>抽样方法按GB.T 8855参照执行</w:t>
      </w:r>
    </w:p>
    <w:p>
      <w:pPr>
        <w:widowControl/>
        <w:autoSpaceDE w:val="0"/>
        <w:autoSpaceDN w:val="0"/>
        <w:spacing w:line="360" w:lineRule="auto"/>
        <w:jc w:val="left"/>
        <w:rPr>
          <w:rFonts w:ascii="宋体" w:hAnsi="宋体"/>
          <w:color w:val="000000" w:themeColor="text1"/>
          <w14:textFill>
            <w14:solidFill>
              <w14:schemeClr w14:val="tx1"/>
            </w14:solidFill>
          </w14:textFill>
        </w:rPr>
      </w:pPr>
      <w:r>
        <w:rPr>
          <w:rFonts w:hint="eastAsia" w:ascii="黑体" w:hAnsi="黑体" w:eastAsia="黑体" w:cs="黑体"/>
          <w:color w:val="000000" w:themeColor="text1"/>
          <w:lang w:val="en-US" w:eastAsia="zh-CN"/>
          <w14:textFill>
            <w14:solidFill>
              <w14:schemeClr w14:val="tx1"/>
            </w14:solidFill>
          </w14:textFill>
        </w:rPr>
        <w:t>8</w:t>
      </w:r>
      <w:r>
        <w:rPr>
          <w:rFonts w:hint="eastAsia" w:ascii="黑体" w:hAnsi="黑体" w:eastAsia="黑体" w:cs="黑体"/>
          <w:color w:val="000000" w:themeColor="text1"/>
          <w14:textFill>
            <w14:solidFill>
              <w14:schemeClr w14:val="tx1"/>
            </w14:solidFill>
          </w14:textFill>
        </w:rPr>
        <w:t>.2.2</w:t>
      </w:r>
      <w:r>
        <w:rPr>
          <w:rFonts w:hint="eastAsia" w:ascii="宋体" w:hAnsi="宋体"/>
          <w:color w:val="000000" w:themeColor="text1"/>
          <w14:textFill>
            <w14:solidFill>
              <w14:schemeClr w14:val="tx1"/>
            </w14:solidFill>
          </w14:textFill>
        </w:rPr>
        <w:t xml:space="preserve"> 抽样数量：50箱以内的货物抽取2箱，51箱～100箱的货物抽取3箱，100箱以上的货物按100</w:t>
      </w:r>
      <w:r>
        <w:rPr>
          <w:rFonts w:hint="eastAsia" w:ascii="宋体" w:hAnsi="宋体"/>
          <w:color w:val="000000" w:themeColor="text1"/>
          <w:lang w:val="en-US" w:eastAsia="zh-CN"/>
          <w14:textFill>
            <w14:solidFill>
              <w14:schemeClr w14:val="tx1"/>
            </w14:solidFill>
          </w14:textFill>
        </w:rPr>
        <w:t>箱</w:t>
      </w:r>
      <w:r>
        <w:rPr>
          <w:rFonts w:hint="eastAsia" w:ascii="宋体" w:hAnsi="宋体"/>
          <w:color w:val="000000" w:themeColor="text1"/>
          <w14:textFill>
            <w14:solidFill>
              <w14:schemeClr w14:val="tx1"/>
            </w14:solidFill>
          </w14:textFill>
        </w:rPr>
        <w:t>计抽取3箱为基数，每增加100箱抽样相应增加1箱，增加不足100箱的以100箱计。每箱随机取2 kg。</w:t>
      </w:r>
    </w:p>
    <w:p>
      <w:pPr>
        <w:adjustRightInd w:val="0"/>
        <w:snapToGrid w:val="0"/>
        <w:spacing w:before="156" w:beforeLines="50" w:after="156" w:afterLines="50" w:line="360" w:lineRule="auto"/>
        <w:jc w:val="left"/>
        <w:rPr>
          <w:rFonts w:ascii="黑体" w:hAnsi="黑体" w:eastAsia="黑体" w:cs="黑体"/>
          <w:color w:val="000000" w:themeColor="text1"/>
          <w:szCs w:val="22"/>
          <w14:textFill>
            <w14:solidFill>
              <w14:schemeClr w14:val="tx1"/>
            </w14:solidFill>
          </w14:textFill>
        </w:rPr>
      </w:pPr>
      <w:r>
        <w:rPr>
          <w:rFonts w:hint="eastAsia" w:ascii="黑体" w:hAnsi="黑体" w:eastAsia="黑体" w:cs="黑体"/>
          <w:color w:val="000000" w:themeColor="text1"/>
          <w:szCs w:val="22"/>
          <w:lang w:val="en-US" w:eastAsia="zh-CN"/>
          <w14:textFill>
            <w14:solidFill>
              <w14:schemeClr w14:val="tx1"/>
            </w14:solidFill>
          </w14:textFill>
        </w:rPr>
        <w:t>8</w:t>
      </w:r>
      <w:r>
        <w:rPr>
          <w:rFonts w:hint="eastAsia" w:ascii="黑体" w:hAnsi="黑体" w:eastAsia="黑体" w:cs="黑体"/>
          <w:color w:val="000000" w:themeColor="text1"/>
          <w:szCs w:val="22"/>
          <w14:textFill>
            <w14:solidFill>
              <w14:schemeClr w14:val="tx1"/>
            </w14:solidFill>
          </w14:textFill>
        </w:rPr>
        <w:t>.3 检验分类</w:t>
      </w:r>
    </w:p>
    <w:p>
      <w:pPr>
        <w:adjustRightInd w:val="0"/>
        <w:snapToGrid w:val="0"/>
        <w:spacing w:before="156" w:beforeLines="50" w:after="156" w:afterLines="50" w:line="360" w:lineRule="auto"/>
        <w:jc w:val="left"/>
        <w:rPr>
          <w:rFonts w:ascii="黑体" w:hAnsi="黑体" w:eastAsia="黑体" w:cs="黑体"/>
          <w:color w:val="000000" w:themeColor="text1"/>
          <w:szCs w:val="22"/>
          <w14:textFill>
            <w14:solidFill>
              <w14:schemeClr w14:val="tx1"/>
            </w14:solidFill>
          </w14:textFill>
        </w:rPr>
      </w:pPr>
      <w:r>
        <w:rPr>
          <w:rFonts w:hint="eastAsia" w:ascii="黑体" w:hAnsi="黑体" w:eastAsia="黑体" w:cs="黑体"/>
          <w:color w:val="000000" w:themeColor="text1"/>
          <w:szCs w:val="22"/>
          <w:lang w:val="en-US" w:eastAsia="zh-CN"/>
          <w14:textFill>
            <w14:solidFill>
              <w14:schemeClr w14:val="tx1"/>
            </w14:solidFill>
          </w14:textFill>
        </w:rPr>
        <w:t>8</w:t>
      </w:r>
      <w:r>
        <w:rPr>
          <w:rFonts w:hint="eastAsia" w:ascii="黑体" w:hAnsi="黑体" w:eastAsia="黑体" w:cs="黑体"/>
          <w:color w:val="000000" w:themeColor="text1"/>
          <w:szCs w:val="22"/>
          <w14:textFill>
            <w14:solidFill>
              <w14:schemeClr w14:val="tx1"/>
            </w14:solidFill>
          </w14:textFill>
        </w:rPr>
        <w:t>.3.1 交收检验</w:t>
      </w:r>
    </w:p>
    <w:p>
      <w:pPr>
        <w:widowControl/>
        <w:autoSpaceDE w:val="0"/>
        <w:autoSpaceDN w:val="0"/>
        <w:spacing w:line="360" w:lineRule="auto"/>
        <w:ind w:firstLine="420" w:firstLineChars="200"/>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每批产品交收前，生产单位都应进行交收检验。交收检验的项目为感官指标、包装、标志，交收检验合格并附合格证，产品方可交收。</w:t>
      </w:r>
    </w:p>
    <w:p>
      <w:pPr>
        <w:adjustRightInd w:val="0"/>
        <w:snapToGrid w:val="0"/>
        <w:spacing w:before="156" w:beforeLines="50" w:after="156" w:afterLines="50" w:line="360" w:lineRule="auto"/>
        <w:jc w:val="left"/>
        <w:rPr>
          <w:rFonts w:ascii="黑体" w:hAnsi="黑体" w:eastAsia="黑体" w:cs="黑体"/>
          <w:color w:val="000000" w:themeColor="text1"/>
          <w:szCs w:val="22"/>
          <w14:textFill>
            <w14:solidFill>
              <w14:schemeClr w14:val="tx1"/>
            </w14:solidFill>
          </w14:textFill>
        </w:rPr>
      </w:pPr>
      <w:r>
        <w:rPr>
          <w:rFonts w:hint="eastAsia" w:ascii="黑体" w:hAnsi="黑体" w:eastAsia="黑体" w:cs="黑体"/>
          <w:color w:val="000000" w:themeColor="text1"/>
          <w:szCs w:val="22"/>
          <w:lang w:val="en-US" w:eastAsia="zh-CN"/>
          <w14:textFill>
            <w14:solidFill>
              <w14:schemeClr w14:val="tx1"/>
            </w14:solidFill>
          </w14:textFill>
        </w:rPr>
        <w:t>8</w:t>
      </w:r>
      <w:r>
        <w:rPr>
          <w:rFonts w:hint="eastAsia" w:ascii="黑体" w:hAnsi="黑体" w:eastAsia="黑体" w:cs="黑体"/>
          <w:color w:val="000000" w:themeColor="text1"/>
          <w:szCs w:val="22"/>
          <w14:textFill>
            <w14:solidFill>
              <w14:schemeClr w14:val="tx1"/>
            </w14:solidFill>
          </w14:textFill>
        </w:rPr>
        <w:t>.3.2 型式检验</w:t>
      </w:r>
    </w:p>
    <w:p>
      <w:pPr>
        <w:widowControl/>
        <w:autoSpaceDE w:val="0"/>
        <w:autoSpaceDN w:val="0"/>
        <w:spacing w:line="360" w:lineRule="auto"/>
        <w:ind w:firstLine="420" w:firstLineChars="200"/>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型式检验项目为本</w:t>
      </w:r>
      <w:r>
        <w:rPr>
          <w:rFonts w:hint="eastAsia" w:ascii="宋体" w:hAnsi="宋体"/>
          <w:color w:val="000000" w:themeColor="text1"/>
          <w:lang w:val="en-US" w:eastAsia="zh-CN"/>
          <w14:textFill>
            <w14:solidFill>
              <w14:schemeClr w14:val="tx1"/>
            </w14:solidFill>
          </w14:textFill>
        </w:rPr>
        <w:t>文件</w:t>
      </w:r>
      <w:r>
        <w:rPr>
          <w:rFonts w:hint="eastAsia" w:ascii="宋体" w:hAnsi="宋体"/>
          <w:color w:val="000000" w:themeColor="text1"/>
          <w14:textFill>
            <w14:solidFill>
              <w14:schemeClr w14:val="tx1"/>
            </w14:solidFill>
          </w14:textFill>
        </w:rPr>
        <w:t>规定的全部要求。有下列情形之一时，应进行型式检验：</w:t>
      </w:r>
    </w:p>
    <w:p>
      <w:pPr>
        <w:widowControl/>
        <w:autoSpaceDE w:val="0"/>
        <w:autoSpaceDN w:val="0"/>
        <w:spacing w:line="360" w:lineRule="auto"/>
        <w:ind w:firstLine="420" w:firstLineChars="200"/>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a) 每年采摘初期；</w:t>
      </w:r>
    </w:p>
    <w:p>
      <w:pPr>
        <w:widowControl/>
        <w:autoSpaceDE w:val="0"/>
        <w:autoSpaceDN w:val="0"/>
        <w:spacing w:line="360" w:lineRule="auto"/>
        <w:ind w:firstLine="420" w:firstLineChars="200"/>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b) 两次抽检结果差异较大时；</w:t>
      </w:r>
    </w:p>
    <w:p>
      <w:pPr>
        <w:widowControl/>
        <w:autoSpaceDE w:val="0"/>
        <w:autoSpaceDN w:val="0"/>
        <w:spacing w:line="360" w:lineRule="auto"/>
        <w:ind w:firstLine="420" w:firstLineChars="200"/>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c) 因人为或自然因素使环境发生较大变化时；</w:t>
      </w:r>
    </w:p>
    <w:p>
      <w:pPr>
        <w:widowControl/>
        <w:autoSpaceDE w:val="0"/>
        <w:autoSpaceDN w:val="0"/>
        <w:spacing w:line="360" w:lineRule="auto"/>
        <w:ind w:firstLine="420" w:firstLineChars="200"/>
        <w:jc w:val="left"/>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d) 国家质量监督机构或主管部门提出型式检验要求时。</w:t>
      </w:r>
    </w:p>
    <w:p>
      <w:pPr>
        <w:widowControl/>
        <w:autoSpaceDE w:val="0"/>
        <w:autoSpaceDN w:val="0"/>
        <w:spacing w:before="156" w:beforeLines="50" w:after="156" w:afterLines="50" w:line="360" w:lineRule="auto"/>
        <w:jc w:val="left"/>
        <w:rPr>
          <w:rFonts w:ascii="宋体" w:hAnsi="宋体"/>
          <w:color w:val="000000" w:themeColor="text1"/>
          <w14:textFill>
            <w14:solidFill>
              <w14:schemeClr w14:val="tx1"/>
            </w14:solidFill>
          </w14:textFill>
        </w:rPr>
      </w:pPr>
      <w:r>
        <w:rPr>
          <w:rFonts w:hint="eastAsia" w:ascii="黑体" w:hAnsi="黑体" w:eastAsia="黑体" w:cs="黑体"/>
          <w:color w:val="000000" w:themeColor="text1"/>
          <w:szCs w:val="22"/>
          <w:lang w:val="en-US" w:eastAsia="zh-CN"/>
          <w14:textFill>
            <w14:solidFill>
              <w14:schemeClr w14:val="tx1"/>
            </w14:solidFill>
          </w14:textFill>
        </w:rPr>
        <w:t>8</w:t>
      </w:r>
      <w:r>
        <w:rPr>
          <w:rFonts w:hint="eastAsia" w:ascii="黑体" w:hAnsi="黑体" w:eastAsia="黑体" w:cs="黑体"/>
          <w:color w:val="000000" w:themeColor="text1"/>
          <w:szCs w:val="22"/>
          <w14:textFill>
            <w14:solidFill>
              <w14:schemeClr w14:val="tx1"/>
            </w14:solidFill>
          </w14:textFill>
        </w:rPr>
        <w:t>.</w:t>
      </w:r>
      <w:r>
        <w:rPr>
          <w:rFonts w:hint="eastAsia" w:ascii="黑体" w:hAnsi="黑体" w:eastAsia="黑体" w:cs="黑体"/>
          <w:color w:val="000000" w:themeColor="text1"/>
          <w:szCs w:val="22"/>
          <w:lang w:val="en-US" w:eastAsia="zh-CN"/>
          <w14:textFill>
            <w14:solidFill>
              <w14:schemeClr w14:val="tx1"/>
            </w14:solidFill>
          </w14:textFill>
        </w:rPr>
        <w:t>4</w:t>
      </w:r>
      <w:r>
        <w:rPr>
          <w:rFonts w:hint="eastAsia" w:ascii="黑体" w:hAnsi="黑体" w:eastAsia="黑体" w:cs="黑体"/>
          <w:color w:val="000000" w:themeColor="text1"/>
          <w:szCs w:val="22"/>
          <w14:textFill>
            <w14:solidFill>
              <w14:schemeClr w14:val="tx1"/>
            </w14:solidFill>
          </w14:textFill>
        </w:rPr>
        <w:t xml:space="preserve"> 判定规则</w:t>
      </w:r>
    </w:p>
    <w:p>
      <w:pPr>
        <w:widowControl/>
        <w:autoSpaceDE w:val="0"/>
        <w:autoSpaceDN w:val="0"/>
        <w:spacing w:line="360" w:lineRule="auto"/>
        <w:jc w:val="left"/>
        <w:rPr>
          <w:rFonts w:ascii="宋体" w:hAnsi="宋体"/>
          <w:color w:val="000000" w:themeColor="text1"/>
          <w14:textFill>
            <w14:solidFill>
              <w14:schemeClr w14:val="tx1"/>
            </w14:solidFill>
          </w14:textFill>
        </w:rPr>
      </w:pPr>
      <w:r>
        <w:rPr>
          <w:rFonts w:hint="eastAsia" w:ascii="黑体" w:hAnsi="黑体" w:eastAsia="黑体" w:cs="黑体"/>
          <w:color w:val="000000" w:themeColor="text1"/>
          <w:szCs w:val="22"/>
          <w:lang w:val="en-US" w:eastAsia="zh-CN"/>
          <w14:textFill>
            <w14:solidFill>
              <w14:schemeClr w14:val="tx1"/>
            </w14:solidFill>
          </w14:textFill>
        </w:rPr>
        <w:t>8</w:t>
      </w:r>
      <w:r>
        <w:rPr>
          <w:rFonts w:hint="eastAsia" w:ascii="黑体" w:hAnsi="黑体" w:eastAsia="黑体" w:cs="黑体"/>
          <w:color w:val="000000" w:themeColor="text1"/>
          <w:szCs w:val="22"/>
          <w14:textFill>
            <w14:solidFill>
              <w14:schemeClr w14:val="tx1"/>
            </w14:solidFill>
          </w14:textFill>
        </w:rPr>
        <w:t>.4.1</w:t>
      </w:r>
      <w:r>
        <w:rPr>
          <w:rFonts w:hint="eastAsia" w:ascii="宋体" w:hAnsi="宋体"/>
          <w:color w:val="000000" w:themeColor="text1"/>
          <w14:textFill>
            <w14:solidFill>
              <w14:schemeClr w14:val="tx1"/>
            </w14:solidFill>
          </w14:textFill>
        </w:rPr>
        <w:t xml:space="preserve"> 交收检验时，在整批样品中感官指标中出现不合格果率超过5%</w:t>
      </w:r>
      <w:r>
        <w:rPr>
          <w:rFonts w:hint="eastAsia" w:ascii="宋体" w:hAnsi="宋体"/>
          <w:color w:val="000000" w:themeColor="text1"/>
          <w:lang w:val="en-US" w:eastAsia="zh-CN"/>
          <w14:textFill>
            <w14:solidFill>
              <w14:schemeClr w14:val="tx1"/>
            </w14:solidFill>
          </w14:textFill>
        </w:rPr>
        <w:t>和</w:t>
      </w:r>
      <w:r>
        <w:rPr>
          <w:rFonts w:hint="eastAsia" w:ascii="宋体" w:hAnsi="宋体"/>
          <w:color w:val="000000" w:themeColor="text1"/>
          <w14:textFill>
            <w14:solidFill>
              <w14:schemeClr w14:val="tx1"/>
            </w14:solidFill>
          </w14:textFill>
        </w:rPr>
        <w:t>包装、标志若有一项不合格，</w:t>
      </w:r>
      <w:r>
        <w:rPr>
          <w:rFonts w:hint="eastAsia" w:ascii="宋体" w:hAnsi="宋体"/>
          <w:color w:val="000000" w:themeColor="text1"/>
          <w:lang w:val="en-US" w:eastAsia="zh-CN"/>
          <w14:textFill>
            <w14:solidFill>
              <w14:schemeClr w14:val="tx1"/>
            </w14:solidFill>
          </w14:textFill>
        </w:rPr>
        <w:t>都应</w:t>
      </w:r>
      <w:r>
        <w:rPr>
          <w:rFonts w:hint="eastAsia" w:ascii="宋体" w:hAnsi="宋体"/>
          <w:color w:val="000000" w:themeColor="text1"/>
          <w14:textFill>
            <w14:solidFill>
              <w14:schemeClr w14:val="tx1"/>
            </w14:solidFill>
          </w14:textFill>
        </w:rPr>
        <w:t>判定交收检验不合格。</w:t>
      </w:r>
    </w:p>
    <w:p>
      <w:pPr>
        <w:widowControl/>
        <w:autoSpaceDE w:val="0"/>
        <w:autoSpaceDN w:val="0"/>
        <w:spacing w:line="360" w:lineRule="auto"/>
        <w:jc w:val="left"/>
        <w:rPr>
          <w:rFonts w:ascii="宋体" w:hAnsi="宋体"/>
          <w:color w:val="000000" w:themeColor="text1"/>
          <w14:textFill>
            <w14:solidFill>
              <w14:schemeClr w14:val="tx1"/>
            </w14:solidFill>
          </w14:textFill>
        </w:rPr>
      </w:pPr>
      <w:r>
        <w:rPr>
          <w:rFonts w:hint="eastAsia" w:ascii="黑体" w:hAnsi="黑体" w:eastAsia="黑体" w:cs="黑体"/>
          <w:color w:val="000000" w:themeColor="text1"/>
          <w:szCs w:val="22"/>
          <w:lang w:val="en-US" w:eastAsia="zh-CN"/>
          <w14:textFill>
            <w14:solidFill>
              <w14:schemeClr w14:val="tx1"/>
            </w14:solidFill>
          </w14:textFill>
        </w:rPr>
        <w:t>8</w:t>
      </w:r>
      <w:r>
        <w:rPr>
          <w:rFonts w:hint="eastAsia" w:ascii="黑体" w:hAnsi="黑体" w:eastAsia="黑体" w:cs="黑体"/>
          <w:color w:val="000000" w:themeColor="text1"/>
          <w:szCs w:val="22"/>
          <w14:textFill>
            <w14:solidFill>
              <w14:schemeClr w14:val="tx1"/>
            </w14:solidFill>
          </w14:textFill>
        </w:rPr>
        <w:t>.4.2</w:t>
      </w:r>
      <w:r>
        <w:rPr>
          <w:rFonts w:hint="eastAsia" w:ascii="宋体" w:hAnsi="宋体"/>
          <w:color w:val="000000" w:themeColor="text1"/>
          <w14:textFill>
            <w14:solidFill>
              <w14:schemeClr w14:val="tx1"/>
            </w14:solidFill>
          </w14:textFill>
        </w:rPr>
        <w:t xml:space="preserve"> 型式检验时，在整批样品中感官指标不合格果率超过5%时，判定不合格；理化指标或安全指标有一项不合格时，允许加倍抽样复检一次，如仍不合格，则判为不合格。</w:t>
      </w:r>
    </w:p>
    <w:p>
      <w:pPr>
        <w:adjustRightInd w:val="0"/>
        <w:snapToGrid w:val="0"/>
        <w:spacing w:before="312" w:beforeLines="100" w:after="312" w:afterLines="100" w:line="360" w:lineRule="auto"/>
        <w:jc w:val="left"/>
        <w:rPr>
          <w:rFonts w:ascii="黑体" w:hAnsi="黑体" w:eastAsia="黑体" w:cs="黑体"/>
          <w:color w:val="000000" w:themeColor="text1"/>
          <w:szCs w:val="22"/>
          <w14:textFill>
            <w14:solidFill>
              <w14:schemeClr w14:val="tx1"/>
            </w14:solidFill>
          </w14:textFill>
        </w:rPr>
      </w:pPr>
      <w:r>
        <w:rPr>
          <w:rFonts w:hint="eastAsia" w:ascii="黑体" w:hAnsi="黑体" w:eastAsia="黑体" w:cs="黑体"/>
          <w:color w:val="000000" w:themeColor="text1"/>
          <w:szCs w:val="22"/>
          <w:lang w:val="en-US" w:eastAsia="zh-CN"/>
          <w14:textFill>
            <w14:solidFill>
              <w14:schemeClr w14:val="tx1"/>
            </w14:solidFill>
          </w14:textFill>
        </w:rPr>
        <w:t>9</w:t>
      </w:r>
      <w:r>
        <w:rPr>
          <w:rFonts w:hint="eastAsia" w:ascii="黑体" w:hAnsi="黑体" w:eastAsia="黑体" w:cs="黑体"/>
          <w:color w:val="000000" w:themeColor="text1"/>
          <w:szCs w:val="22"/>
          <w14:textFill>
            <w14:solidFill>
              <w14:schemeClr w14:val="tx1"/>
            </w14:solidFill>
          </w14:textFill>
        </w:rPr>
        <w:t xml:space="preserve"> 标志、包装、运输和贮存</w:t>
      </w:r>
    </w:p>
    <w:p>
      <w:pPr>
        <w:adjustRightInd w:val="0"/>
        <w:snapToGrid w:val="0"/>
        <w:spacing w:before="156" w:beforeLines="50" w:after="156" w:afterLines="50" w:line="360" w:lineRule="auto"/>
        <w:jc w:val="left"/>
        <w:rPr>
          <w:rFonts w:ascii="黑体" w:hAnsi="黑体" w:eastAsia="黑体" w:cs="黑体"/>
          <w:color w:val="000000" w:themeColor="text1"/>
          <w:szCs w:val="22"/>
          <w14:textFill>
            <w14:solidFill>
              <w14:schemeClr w14:val="tx1"/>
            </w14:solidFill>
          </w14:textFill>
        </w:rPr>
      </w:pPr>
      <w:r>
        <w:rPr>
          <w:rFonts w:hint="eastAsia" w:ascii="黑体" w:hAnsi="黑体" w:eastAsia="黑体" w:cs="黑体"/>
          <w:color w:val="000000" w:themeColor="text1"/>
          <w:szCs w:val="22"/>
          <w:lang w:val="en-US" w:eastAsia="zh-CN"/>
          <w14:textFill>
            <w14:solidFill>
              <w14:schemeClr w14:val="tx1"/>
            </w14:solidFill>
          </w14:textFill>
        </w:rPr>
        <w:t>9</w:t>
      </w:r>
      <w:r>
        <w:rPr>
          <w:rFonts w:hint="eastAsia" w:ascii="黑体" w:hAnsi="黑体" w:eastAsia="黑体" w:cs="黑体"/>
          <w:color w:val="000000" w:themeColor="text1"/>
          <w:szCs w:val="22"/>
          <w14:textFill>
            <w14:solidFill>
              <w14:schemeClr w14:val="tx1"/>
            </w14:solidFill>
          </w14:textFill>
        </w:rPr>
        <w:t>.1 标志</w:t>
      </w:r>
    </w:p>
    <w:p>
      <w:pPr>
        <w:widowControl/>
        <w:autoSpaceDE w:val="0"/>
        <w:autoSpaceDN w:val="0"/>
        <w:spacing w:line="360" w:lineRule="auto"/>
        <w:ind w:firstLine="420" w:firstLineChars="200"/>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获准使用东海西红柿专用标志的生产者，应按地理标志产品专用标志管理办法的规定在其产品上使用专用标志，并标明产品名称、数量（个数或净含量）、产地、包装日期、生产单位、执行标准号等。</w:t>
      </w:r>
    </w:p>
    <w:p>
      <w:pPr>
        <w:adjustRightInd w:val="0"/>
        <w:snapToGrid w:val="0"/>
        <w:spacing w:before="156" w:beforeLines="50" w:after="156" w:afterLines="50" w:line="360" w:lineRule="auto"/>
        <w:jc w:val="left"/>
        <w:rPr>
          <w:rFonts w:ascii="黑体" w:hAnsi="黑体" w:eastAsia="黑体" w:cs="黑体"/>
          <w:color w:val="000000" w:themeColor="text1"/>
          <w:szCs w:val="22"/>
          <w14:textFill>
            <w14:solidFill>
              <w14:schemeClr w14:val="tx1"/>
            </w14:solidFill>
          </w14:textFill>
        </w:rPr>
      </w:pPr>
      <w:r>
        <w:rPr>
          <w:rFonts w:hint="eastAsia" w:ascii="黑体" w:hAnsi="黑体" w:eastAsia="黑体" w:cs="黑体"/>
          <w:color w:val="000000" w:themeColor="text1"/>
          <w:szCs w:val="22"/>
          <w:lang w:val="en-US" w:eastAsia="zh-CN"/>
          <w14:textFill>
            <w14:solidFill>
              <w14:schemeClr w14:val="tx1"/>
            </w14:solidFill>
          </w14:textFill>
        </w:rPr>
        <w:t>9</w:t>
      </w:r>
      <w:r>
        <w:rPr>
          <w:rFonts w:hint="eastAsia" w:ascii="黑体" w:hAnsi="黑体" w:eastAsia="黑体" w:cs="黑体"/>
          <w:color w:val="000000" w:themeColor="text1"/>
          <w:szCs w:val="22"/>
          <w14:textFill>
            <w14:solidFill>
              <w14:schemeClr w14:val="tx1"/>
            </w14:solidFill>
          </w14:textFill>
        </w:rPr>
        <w:t>.2 包装</w:t>
      </w:r>
    </w:p>
    <w:p>
      <w:pPr>
        <w:widowControl/>
        <w:autoSpaceDE w:val="0"/>
        <w:autoSpaceDN w:val="0"/>
        <w:spacing w:line="360" w:lineRule="auto"/>
        <w:ind w:firstLine="420" w:firstLineChars="200"/>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同一批西红柿的包装箱（盒）应装入品种、成熟度一致的产品。内包装材料采用符合食品卫生要求的材质。外包装箱应清洁卫生、干燥无异味、对草莓具有良好的保护作用，具通气孔。</w:t>
      </w:r>
    </w:p>
    <w:p>
      <w:pPr>
        <w:adjustRightInd w:val="0"/>
        <w:snapToGrid w:val="0"/>
        <w:spacing w:before="156" w:beforeLines="50" w:after="156" w:afterLines="50" w:line="360" w:lineRule="auto"/>
        <w:jc w:val="left"/>
        <w:rPr>
          <w:rFonts w:ascii="黑体" w:hAnsi="黑体" w:eastAsia="黑体" w:cs="黑体"/>
          <w:color w:val="000000" w:themeColor="text1"/>
          <w:szCs w:val="22"/>
          <w14:textFill>
            <w14:solidFill>
              <w14:schemeClr w14:val="tx1"/>
            </w14:solidFill>
          </w14:textFill>
        </w:rPr>
      </w:pPr>
      <w:r>
        <w:rPr>
          <w:rFonts w:hint="eastAsia" w:ascii="黑体" w:hAnsi="黑体" w:eastAsia="黑体" w:cs="黑体"/>
          <w:color w:val="000000" w:themeColor="text1"/>
          <w:szCs w:val="22"/>
          <w:lang w:val="en-US" w:eastAsia="zh-CN"/>
          <w14:textFill>
            <w14:solidFill>
              <w14:schemeClr w14:val="tx1"/>
            </w14:solidFill>
          </w14:textFill>
        </w:rPr>
        <w:t>9</w:t>
      </w:r>
      <w:r>
        <w:rPr>
          <w:rFonts w:hint="eastAsia" w:ascii="黑体" w:hAnsi="黑体" w:eastAsia="黑体" w:cs="黑体"/>
          <w:color w:val="000000" w:themeColor="text1"/>
          <w:szCs w:val="22"/>
          <w14:textFill>
            <w14:solidFill>
              <w14:schemeClr w14:val="tx1"/>
            </w14:solidFill>
          </w14:textFill>
        </w:rPr>
        <w:t>.3 运输和贮存</w:t>
      </w:r>
    </w:p>
    <w:p>
      <w:pPr>
        <w:widowControl/>
        <w:autoSpaceDE w:val="0"/>
        <w:autoSpaceDN w:val="0"/>
        <w:spacing w:line="360" w:lineRule="auto"/>
        <w:jc w:val="left"/>
        <w:rPr>
          <w:rFonts w:ascii="宋体" w:hAnsi="宋体"/>
          <w:color w:val="000000" w:themeColor="text1"/>
          <w14:textFill>
            <w14:solidFill>
              <w14:schemeClr w14:val="tx1"/>
            </w14:solidFill>
          </w14:textFill>
        </w:rPr>
      </w:pPr>
      <w:r>
        <w:rPr>
          <w:rFonts w:hint="eastAsia" w:ascii="黑体" w:hAnsi="黑体" w:eastAsia="黑体" w:cs="黑体"/>
          <w:color w:val="000000" w:themeColor="text1"/>
          <w:szCs w:val="22"/>
          <w:lang w:val="en-US" w:eastAsia="zh-CN"/>
          <w14:textFill>
            <w14:solidFill>
              <w14:schemeClr w14:val="tx1"/>
            </w14:solidFill>
          </w14:textFill>
        </w:rPr>
        <w:t>9.3.1</w:t>
      </w:r>
      <w:r>
        <w:rPr>
          <w:rFonts w:hint="eastAsia" w:ascii="宋体" w:hAnsi="宋体"/>
          <w:color w:val="000000" w:themeColor="text1"/>
          <w14:textFill>
            <w14:solidFill>
              <w14:schemeClr w14:val="tx1"/>
            </w14:solidFill>
          </w14:textFill>
        </w:rPr>
        <w:t xml:space="preserve"> 西红柿运输前</w:t>
      </w:r>
      <w:r>
        <w:rPr>
          <w:rFonts w:hint="eastAsia" w:ascii="宋体" w:hAnsi="宋体"/>
          <w:color w:val="000000" w:themeColor="text1"/>
          <w:lang w:val="en-US" w:eastAsia="zh-CN"/>
          <w14:textFill>
            <w14:solidFill>
              <w14:schemeClr w14:val="tx1"/>
            </w14:solidFill>
          </w14:textFill>
        </w:rPr>
        <w:t>宜</w:t>
      </w:r>
      <w:r>
        <w:rPr>
          <w:rFonts w:hint="eastAsia" w:ascii="宋体" w:hAnsi="宋体"/>
          <w:color w:val="000000" w:themeColor="text1"/>
          <w14:textFill>
            <w14:solidFill>
              <w14:schemeClr w14:val="tx1"/>
            </w14:solidFill>
          </w14:textFill>
        </w:rPr>
        <w:t>进行预冷处理，长途运输</w:t>
      </w:r>
      <w:r>
        <w:rPr>
          <w:rFonts w:hint="eastAsia" w:ascii="宋体" w:hAnsi="宋体"/>
          <w:color w:val="000000" w:themeColor="text1"/>
          <w:lang w:val="en-US" w:eastAsia="zh-CN"/>
          <w14:textFill>
            <w14:solidFill>
              <w14:schemeClr w14:val="tx1"/>
            </w14:solidFill>
          </w14:textFill>
        </w:rPr>
        <w:t>应</w:t>
      </w:r>
      <w:r>
        <w:rPr>
          <w:rFonts w:hint="eastAsia" w:ascii="宋体" w:hAnsi="宋体"/>
          <w:color w:val="000000" w:themeColor="text1"/>
          <w14:textFill>
            <w14:solidFill>
              <w14:schemeClr w14:val="tx1"/>
            </w14:solidFill>
          </w14:textFill>
        </w:rPr>
        <w:t>用硬质包装箱，运输要用减震性能好的冷藏车或有篷卡车，有篷卡车以清晨或傍晚气温较低时运输为宜。</w:t>
      </w:r>
    </w:p>
    <w:p>
      <w:pPr>
        <w:widowControl/>
        <w:autoSpaceDE w:val="0"/>
        <w:autoSpaceDN w:val="0"/>
        <w:spacing w:line="360" w:lineRule="auto"/>
        <w:jc w:val="left"/>
        <w:rPr>
          <w:rFonts w:ascii="宋体" w:hAnsi="宋体"/>
          <w:color w:val="000000" w:themeColor="text1"/>
          <w14:textFill>
            <w14:solidFill>
              <w14:schemeClr w14:val="tx1"/>
            </w14:solidFill>
          </w14:textFill>
        </w:rPr>
      </w:pPr>
      <w:r>
        <w:rPr>
          <w:rFonts w:hint="eastAsia" w:ascii="黑体" w:hAnsi="黑体" w:eastAsia="黑体" w:cs="黑体"/>
          <w:color w:val="000000" w:themeColor="text1"/>
          <w:szCs w:val="22"/>
          <w:lang w:val="en-US" w:eastAsia="zh-CN"/>
          <w14:textFill>
            <w14:solidFill>
              <w14:schemeClr w14:val="tx1"/>
            </w14:solidFill>
          </w14:textFill>
        </w:rPr>
        <w:t>9.3.2</w:t>
      </w:r>
      <w:r>
        <w:rPr>
          <w:rFonts w:hint="eastAsia" w:ascii="宋体" w:hAnsi="宋体"/>
          <w:color w:val="000000" w:themeColor="text1"/>
          <w14:textFill>
            <w14:solidFill>
              <w14:schemeClr w14:val="tx1"/>
            </w14:solidFill>
          </w14:textFill>
        </w:rPr>
        <w:t xml:space="preserve"> 西红柿要随采随销，临时运销有困难时，可将包装好的西红柿存放在通风、凉爽、整洁的库房内。如果有冷藏条件，应在0℃～2℃的冷库中贮存。</w:t>
      </w:r>
    </w:p>
    <w:p>
      <w:pPr>
        <w:spacing w:before="312" w:beforeLines="100" w:after="312" w:afterLines="100" w:line="360" w:lineRule="auto"/>
        <w:jc w:val="left"/>
        <w:rPr>
          <w:rFonts w:ascii="黑体" w:hAnsi="黑体" w:eastAsia="黑体" w:cs="黑体"/>
          <w:color w:val="000000" w:themeColor="text1"/>
          <w14:textFill>
            <w14:solidFill>
              <w14:schemeClr w14:val="tx1"/>
            </w14:solidFill>
          </w14:textFill>
        </w:rPr>
      </w:pPr>
      <w:r>
        <w:rPr>
          <w:rFonts w:hint="eastAsia" w:ascii="黑体" w:hAnsi="黑体" w:eastAsia="黑体" w:cs="黑体"/>
          <w:color w:val="000000" w:themeColor="text1"/>
          <w14:textFill>
            <w14:solidFill>
              <w14:schemeClr w14:val="tx1"/>
            </w14:solidFill>
          </w14:textFill>
        </w:rPr>
        <w:t>1</w:t>
      </w:r>
      <w:r>
        <w:rPr>
          <w:rFonts w:hint="eastAsia" w:ascii="黑体" w:hAnsi="黑体" w:eastAsia="黑体" w:cs="黑体"/>
          <w:color w:val="000000" w:themeColor="text1"/>
          <w:lang w:val="en-US" w:eastAsia="zh-CN"/>
          <w14:textFill>
            <w14:solidFill>
              <w14:schemeClr w14:val="tx1"/>
            </w14:solidFill>
          </w14:textFill>
        </w:rPr>
        <w:t>0</w:t>
      </w:r>
      <w:r>
        <w:rPr>
          <w:rFonts w:hint="eastAsia" w:ascii="黑体" w:hAnsi="黑体" w:eastAsia="黑体" w:cs="黑体"/>
          <w:color w:val="000000" w:themeColor="text1"/>
          <w14:textFill>
            <w14:solidFill>
              <w14:schemeClr w14:val="tx1"/>
            </w14:solidFill>
          </w14:textFill>
        </w:rPr>
        <w:t xml:space="preserve"> 生产记录</w:t>
      </w:r>
    </w:p>
    <w:p>
      <w:pPr>
        <w:widowControl/>
        <w:autoSpaceDE w:val="0"/>
        <w:autoSpaceDN w:val="0"/>
        <w:spacing w:line="360" w:lineRule="auto"/>
        <w:ind w:firstLine="420" w:firstLineChars="200"/>
        <w:jc w:val="left"/>
        <w:rPr>
          <w:rFonts w:ascii="宋体" w:hAnsi="宋体"/>
          <w:color w:val="000000" w:themeColor="text1"/>
          <w14:textFill>
            <w14:solidFill>
              <w14:schemeClr w14:val="tx1"/>
            </w14:solidFill>
          </w14:textFill>
        </w:rPr>
      </w:pPr>
      <w:r>
        <w:rPr>
          <w:rFonts w:ascii="Calibri" w:hAnsi="Calibri"/>
          <w:color w:val="000000" w:themeColor="text1"/>
          <w:szCs w:val="21"/>
          <w14:textFill>
            <w14:solidFill>
              <w14:schemeClr w14:val="tx1"/>
            </w14:solidFill>
          </w14:textFill>
        </w:rPr>
        <w:t>在种植过程中，</w:t>
      </w:r>
      <w:r>
        <w:rPr>
          <w:rFonts w:hint="eastAsia" w:ascii="Calibri" w:hAnsi="Calibri"/>
          <w:color w:val="000000" w:themeColor="text1"/>
          <w:szCs w:val="21"/>
          <w14:textFill>
            <w14:solidFill>
              <w14:schemeClr w14:val="tx1"/>
            </w14:solidFill>
          </w14:textFill>
        </w:rPr>
        <w:t>农户要对</w:t>
      </w:r>
      <w:r>
        <w:rPr>
          <w:rFonts w:hint="eastAsia" w:ascii="Calibri" w:hAnsi="Calibri"/>
          <w:color w:val="000000" w:themeColor="text1"/>
          <w:szCs w:val="21"/>
          <w:lang w:val="en-US" w:eastAsia="zh-CN"/>
          <w14:textFill>
            <w14:solidFill>
              <w14:schemeClr w14:val="tx1"/>
            </w14:solidFill>
          </w14:textFill>
        </w:rPr>
        <w:t>生产全过程</w:t>
      </w:r>
      <w:r>
        <w:rPr>
          <w:rFonts w:ascii="Calibri" w:hAnsi="Calibri"/>
          <w:color w:val="000000" w:themeColor="text1"/>
          <w:szCs w:val="21"/>
          <w14:textFill>
            <w14:solidFill>
              <w14:schemeClr w14:val="tx1"/>
            </w14:solidFill>
          </w14:textFill>
        </w:rPr>
        <w:t>及主要技术环节有详细记录</w:t>
      </w:r>
      <w:r>
        <w:rPr>
          <w:rFonts w:hint="eastAsia" w:ascii="Calibri" w:hAnsi="Calibri"/>
          <w:color w:val="000000" w:themeColor="text1"/>
          <w:szCs w:val="21"/>
          <w14:textFill>
            <w14:solidFill>
              <w14:schemeClr w14:val="tx1"/>
            </w14:solidFill>
          </w14:textFill>
        </w:rPr>
        <w:t>，且相关记录</w:t>
      </w:r>
      <w:r>
        <w:rPr>
          <w:rFonts w:hint="eastAsia" w:ascii="Calibri" w:hAnsi="Calibri"/>
          <w:color w:val="000000" w:themeColor="text1"/>
          <w:szCs w:val="21"/>
          <w:lang w:val="en-US" w:eastAsia="zh-CN"/>
          <w14:textFill>
            <w14:solidFill>
              <w14:schemeClr w14:val="tx1"/>
            </w14:solidFill>
          </w14:textFill>
        </w:rPr>
        <w:t>应</w:t>
      </w:r>
      <w:r>
        <w:rPr>
          <w:rFonts w:hint="eastAsia" w:ascii="Calibri" w:hAnsi="Calibri"/>
          <w:color w:val="000000" w:themeColor="text1"/>
          <w:szCs w:val="21"/>
          <w14:textFill>
            <w14:solidFill>
              <w14:schemeClr w14:val="tx1"/>
            </w14:solidFill>
          </w14:textFill>
        </w:rPr>
        <w:t>保存</w:t>
      </w:r>
      <w:r>
        <w:rPr>
          <w:rFonts w:hint="eastAsia" w:ascii="Calibri" w:hAnsi="Calibri"/>
          <w:color w:val="000000" w:themeColor="text1"/>
          <w:szCs w:val="21"/>
          <w:lang w:val="en-US" w:eastAsia="zh-CN"/>
          <w14:textFill>
            <w14:solidFill>
              <w14:schemeClr w14:val="tx1"/>
            </w14:solidFill>
          </w14:textFill>
        </w:rPr>
        <w:t>2</w:t>
      </w:r>
      <w:r>
        <w:rPr>
          <w:rFonts w:hint="eastAsia" w:ascii="Calibri" w:hAnsi="Calibri"/>
          <w:color w:val="000000" w:themeColor="text1"/>
          <w:szCs w:val="21"/>
          <w14:textFill>
            <w14:solidFill>
              <w14:schemeClr w14:val="tx1"/>
            </w14:solidFill>
          </w14:textFill>
        </w:rPr>
        <w:t>年以上</w:t>
      </w:r>
      <w:r>
        <w:rPr>
          <w:rFonts w:ascii="Calibri" w:hAnsi="Calibri"/>
          <w:color w:val="000000" w:themeColor="text1"/>
          <w:szCs w:val="21"/>
          <w14:textFill>
            <w14:solidFill>
              <w14:schemeClr w14:val="tx1"/>
            </w14:solidFill>
          </w14:textFill>
        </w:rPr>
        <w:t>。</w:t>
      </w:r>
    </w:p>
    <w:p>
      <w:pPr>
        <w:adjustRightInd w:val="0"/>
        <w:snapToGrid w:val="0"/>
        <w:spacing w:line="360" w:lineRule="auto"/>
        <w:jc w:val="center"/>
        <w:rPr>
          <w:rFonts w:ascii="黑体" w:hAnsi="黑体" w:eastAsia="黑体" w:cs="黑体"/>
          <w:color w:val="000000" w:themeColor="text1"/>
          <w14:textFill>
            <w14:solidFill>
              <w14:schemeClr w14:val="tx1"/>
            </w14:solidFill>
          </w14:textFill>
        </w:rPr>
      </w:pPr>
    </w:p>
    <w:p>
      <w:pPr>
        <w:adjustRightInd w:val="0"/>
        <w:snapToGrid w:val="0"/>
        <w:spacing w:line="360" w:lineRule="auto"/>
        <w:jc w:val="center"/>
        <w:rPr>
          <w:rFonts w:ascii="黑体" w:hAnsi="黑体" w:eastAsia="黑体" w:cs="黑体"/>
          <w:color w:val="000000" w:themeColor="text1"/>
          <w14:textFill>
            <w14:solidFill>
              <w14:schemeClr w14:val="tx1"/>
            </w14:solidFill>
          </w14:textFill>
        </w:rPr>
      </w:pPr>
    </w:p>
    <w:p>
      <w:pPr>
        <w:adjustRightInd w:val="0"/>
        <w:snapToGrid w:val="0"/>
        <w:spacing w:line="360" w:lineRule="auto"/>
        <w:jc w:val="center"/>
        <w:rPr>
          <w:rFonts w:ascii="黑体" w:hAnsi="黑体" w:eastAsia="黑体" w:cs="黑体"/>
          <w:color w:val="000000" w:themeColor="text1"/>
          <w14:textFill>
            <w14:solidFill>
              <w14:schemeClr w14:val="tx1"/>
            </w14:solidFill>
          </w14:textFill>
        </w:rPr>
      </w:pPr>
    </w:p>
    <w:p>
      <w:pPr>
        <w:adjustRightInd w:val="0"/>
        <w:snapToGrid w:val="0"/>
        <w:spacing w:line="360" w:lineRule="auto"/>
        <w:jc w:val="center"/>
        <w:rPr>
          <w:rFonts w:ascii="黑体" w:hAnsi="黑体" w:eastAsia="黑体" w:cs="黑体"/>
          <w:color w:val="000000" w:themeColor="text1"/>
          <w14:textFill>
            <w14:solidFill>
              <w14:schemeClr w14:val="tx1"/>
            </w14:solidFill>
          </w14:textFill>
        </w:rPr>
      </w:pPr>
    </w:p>
    <w:p>
      <w:pPr>
        <w:rPr>
          <w:rFonts w:hint="eastAsia" w:ascii="黑体" w:hAnsi="黑体" w:eastAsia="黑体" w:cs="黑体"/>
          <w:color w:val="000000" w:themeColor="text1"/>
          <w14:textFill>
            <w14:solidFill>
              <w14:schemeClr w14:val="tx1"/>
            </w14:solidFill>
          </w14:textFill>
        </w:rPr>
      </w:pPr>
      <w:r>
        <w:rPr>
          <w:rFonts w:hint="eastAsia" w:ascii="黑体" w:hAnsi="黑体" w:eastAsia="黑体" w:cs="黑体"/>
          <w:color w:val="000000" w:themeColor="text1"/>
          <w14:textFill>
            <w14:solidFill>
              <w14:schemeClr w14:val="tx1"/>
            </w14:solidFill>
          </w14:textFill>
        </w:rPr>
        <w:br w:type="page"/>
      </w:r>
    </w:p>
    <w:p>
      <w:pPr>
        <w:adjustRightInd w:val="0"/>
        <w:snapToGrid w:val="0"/>
        <w:spacing w:line="360" w:lineRule="auto"/>
        <w:jc w:val="center"/>
        <w:rPr>
          <w:rFonts w:ascii="黑体" w:hAnsi="黑体" w:eastAsia="黑体" w:cs="黑体"/>
          <w:color w:val="000000" w:themeColor="text1"/>
          <w14:textFill>
            <w14:solidFill>
              <w14:schemeClr w14:val="tx1"/>
            </w14:solidFill>
          </w14:textFill>
        </w:rPr>
      </w:pPr>
      <w:r>
        <w:rPr>
          <w:rFonts w:hint="eastAsia" w:ascii="黑体" w:hAnsi="黑体" w:eastAsia="黑体" w:cs="黑体"/>
          <w:color w:val="000000" w:themeColor="text1"/>
          <w14:textFill>
            <w14:solidFill>
              <w14:schemeClr w14:val="tx1"/>
            </w14:solidFill>
          </w14:textFill>
        </w:rPr>
        <w:t>附 录 A</w:t>
      </w:r>
    </w:p>
    <w:p>
      <w:pPr>
        <w:adjustRightInd w:val="0"/>
        <w:snapToGrid w:val="0"/>
        <w:spacing w:line="360" w:lineRule="auto"/>
        <w:jc w:val="center"/>
        <w:rPr>
          <w:rFonts w:ascii="黑体" w:hAnsi="黑体" w:eastAsia="黑体" w:cs="黑体"/>
          <w:color w:val="000000" w:themeColor="text1"/>
          <w14:textFill>
            <w14:solidFill>
              <w14:schemeClr w14:val="tx1"/>
            </w14:solidFill>
          </w14:textFill>
        </w:rPr>
      </w:pPr>
      <w:r>
        <w:rPr>
          <w:rFonts w:hint="eastAsia" w:ascii="黑体" w:hAnsi="黑体" w:eastAsia="黑体" w:cs="黑体"/>
          <w:color w:val="000000" w:themeColor="text1"/>
          <w14:textFill>
            <w14:solidFill>
              <w14:schemeClr w14:val="tx1"/>
            </w14:solidFill>
          </w14:textFill>
        </w:rPr>
        <w:t>（规范性）</w:t>
      </w:r>
    </w:p>
    <w:p>
      <w:pPr>
        <w:adjustRightInd w:val="0"/>
        <w:snapToGrid w:val="0"/>
        <w:spacing w:line="360" w:lineRule="auto"/>
        <w:jc w:val="center"/>
        <w:rPr>
          <w:rFonts w:ascii="黑体" w:hAnsi="黑体" w:eastAsia="黑体" w:cs="黑体"/>
          <w:color w:val="000000" w:themeColor="text1"/>
          <w14:textFill>
            <w14:solidFill>
              <w14:schemeClr w14:val="tx1"/>
            </w14:solidFill>
          </w14:textFill>
        </w:rPr>
      </w:pPr>
      <w:r>
        <w:rPr>
          <w:rFonts w:hint="eastAsia" w:ascii="黑体" w:hAnsi="黑体" w:eastAsia="黑体" w:cs="黑体"/>
          <w:color w:val="000000" w:themeColor="text1"/>
          <w14:textFill>
            <w14:solidFill>
              <w14:schemeClr w14:val="tx1"/>
            </w14:solidFill>
          </w14:textFill>
        </w:rPr>
        <w:t>地理标志产品东海西红柿保护范围</w:t>
      </w:r>
    </w:p>
    <w:p>
      <w:pPr>
        <w:spacing w:line="360" w:lineRule="auto"/>
        <w:rPr>
          <w:rFonts w:hint="eastAsia" w:ascii="宋体" w:hAnsi="宋体" w:eastAsia="宋体"/>
          <w:color w:val="000000" w:themeColor="text1"/>
          <w:szCs w:val="21"/>
          <w:lang w:val="en-US" w:eastAsia="zh-CN"/>
          <w14:textFill>
            <w14:solidFill>
              <w14:schemeClr w14:val="tx1"/>
            </w14:solidFill>
          </w14:textFill>
        </w:rPr>
      </w:pPr>
      <w:r>
        <w:rPr>
          <w:rFonts w:hint="eastAsia" w:ascii="宋体" w:hAnsi="宋体"/>
          <w:color w:val="000000" w:themeColor="text1"/>
          <w:szCs w:val="21"/>
          <w14:textFill>
            <w14:solidFill>
              <w14:schemeClr w14:val="tx1"/>
            </w14:solidFill>
          </w14:textFill>
        </w:rPr>
        <w:t>图A.1规定了地理标志产品东海西红柿保护范围</w:t>
      </w:r>
      <w:r>
        <w:rPr>
          <w:rFonts w:hint="eastAsia" w:ascii="宋体" w:hAnsi="宋体"/>
          <w:color w:val="000000" w:themeColor="text1"/>
          <w:szCs w:val="21"/>
          <w:lang w:eastAsia="zh-CN"/>
          <w14:textFill>
            <w14:solidFill>
              <w14:schemeClr w14:val="tx1"/>
            </w14:solidFill>
          </w14:textFill>
        </w:rPr>
        <w:t>。</w:t>
      </w:r>
    </w:p>
    <w:p>
      <w:pPr>
        <w:spacing w:line="360" w:lineRule="auto"/>
        <w:rPr>
          <w:rFonts w:ascii="黑体" w:hAnsi="黑体" w:eastAsia="黑体"/>
          <w:color w:val="000000" w:themeColor="text1"/>
          <w:szCs w:val="21"/>
          <w14:textFill>
            <w14:solidFill>
              <w14:schemeClr w14:val="tx1"/>
            </w14:solidFill>
          </w14:textFill>
        </w:rPr>
      </w:pPr>
    </w:p>
    <w:p>
      <w:pPr>
        <w:spacing w:line="360" w:lineRule="auto"/>
        <w:jc w:val="center"/>
        <w:rPr>
          <w:rFonts w:ascii="黑体" w:hAnsi="黑体" w:eastAsia="黑体"/>
          <w:color w:val="000000" w:themeColor="text1"/>
          <w:szCs w:val="21"/>
          <w14:textFill>
            <w14:solidFill>
              <w14:schemeClr w14:val="tx1"/>
            </w14:solidFill>
          </w14:textFill>
        </w:rPr>
      </w:pPr>
      <w:r>
        <w:rPr>
          <w:rFonts w:hint="eastAsia" w:ascii="宋体" w:hAnsi="宋体" w:cs="宋体"/>
        </w:rPr>
        <w:drawing>
          <wp:inline distT="0" distB="0" distL="114300" distR="114300">
            <wp:extent cx="4939665" cy="3723640"/>
            <wp:effectExtent l="0" t="0" r="13335" b="10160"/>
            <wp:docPr id="9" name="图片 9" descr="c5fbc5d6048bb80f05cbe61c726c7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5fbc5d6048bb80f05cbe61c726c7eb"/>
                    <pic:cNvPicPr>
                      <a:picLocks noChangeAspect="1"/>
                    </pic:cNvPicPr>
                  </pic:nvPicPr>
                  <pic:blipFill>
                    <a:blip r:embed="rId11" cstate="print"/>
                    <a:stretch>
                      <a:fillRect/>
                    </a:stretch>
                  </pic:blipFill>
                  <pic:spPr>
                    <a:xfrm>
                      <a:off x="0" y="0"/>
                      <a:ext cx="4939665" cy="3723640"/>
                    </a:xfrm>
                    <a:prstGeom prst="rect">
                      <a:avLst/>
                    </a:prstGeom>
                  </pic:spPr>
                </pic:pic>
              </a:graphicData>
            </a:graphic>
          </wp:inline>
        </w:drawing>
      </w:r>
    </w:p>
    <w:p>
      <w:pPr>
        <w:spacing w:before="156" w:beforeLines="50" w:after="156" w:afterLines="50" w:line="360" w:lineRule="auto"/>
        <w:ind w:firstLine="2730" w:firstLineChars="1300"/>
        <w:rPr>
          <w:rFonts w:ascii="黑体" w:hAnsi="黑体" w:eastAsia="黑体"/>
          <w:color w:val="000000" w:themeColor="text1"/>
          <w:szCs w:val="21"/>
          <w14:textFill>
            <w14:solidFill>
              <w14:schemeClr w14:val="tx1"/>
            </w14:solidFill>
          </w14:textFill>
        </w:rPr>
      </w:pPr>
      <w:r>
        <w:rPr>
          <w:rFonts w:hint="eastAsia" w:ascii="黑体" w:hAnsi="黑体" w:eastAsia="黑体"/>
          <w:color w:val="000000" w:themeColor="text1"/>
          <w:szCs w:val="21"/>
          <w14:textFill>
            <w14:solidFill>
              <w14:schemeClr w14:val="tx1"/>
            </w14:solidFill>
          </w14:textFill>
        </w:rPr>
        <w:t>图A.1 地理标志产品东海西红柿保护范围</w:t>
      </w:r>
    </w:p>
    <w:p>
      <w:pPr>
        <w:widowControl/>
        <w:spacing w:line="360" w:lineRule="auto"/>
        <w:ind w:firstLine="200"/>
        <w:outlineLvl w:val="1"/>
        <w:rPr>
          <w:rFonts w:ascii="黑体" w:hAnsi="黑体" w:eastAsia="黑体"/>
          <w:color w:val="000000" w:themeColor="text1"/>
          <w:szCs w:val="21"/>
          <w14:textFill>
            <w14:solidFill>
              <w14:schemeClr w14:val="tx1"/>
            </w14:solidFill>
          </w14:textFill>
        </w:rPr>
      </w:pPr>
      <w:r>
        <w:rPr>
          <w:color w:val="000000" w:themeColor="text1"/>
          <w14:textFill>
            <w14:solidFill>
              <w14:schemeClr w14:val="tx1"/>
            </w14:solidFill>
          </w14:textFill>
        </w:rPr>
        <mc:AlternateContent>
          <mc:Choice Requires="wps">
            <w:drawing>
              <wp:anchor distT="0" distB="0" distL="114300" distR="114300" simplePos="0" relativeHeight="251662336" behindDoc="0" locked="0" layoutInCell="1" allowOverlap="1">
                <wp:simplePos x="0" y="0"/>
                <wp:positionH relativeFrom="column">
                  <wp:posOffset>1807845</wp:posOffset>
                </wp:positionH>
                <wp:positionV relativeFrom="paragraph">
                  <wp:posOffset>143510</wp:posOffset>
                </wp:positionV>
                <wp:extent cx="1581150" cy="2540"/>
                <wp:effectExtent l="0" t="0" r="0" b="0"/>
                <wp:wrapNone/>
                <wp:docPr id="1" name="直接连接符 5"/>
                <wp:cNvGraphicFramePr/>
                <a:graphic xmlns:a="http://schemas.openxmlformats.org/drawingml/2006/main">
                  <a:graphicData uri="http://schemas.microsoft.com/office/word/2010/wordprocessingShape">
                    <wps:wsp>
                      <wps:cNvCnPr/>
                      <wps:spPr>
                        <a:xfrm>
                          <a:off x="0" y="0"/>
                          <a:ext cx="1581150" cy="2540"/>
                        </a:xfrm>
                        <a:prstGeom prst="line">
                          <a:avLst/>
                        </a:prstGeom>
                        <a:ln w="6350" cap="flat" cmpd="sng">
                          <a:solidFill>
                            <a:srgbClr val="000000"/>
                          </a:solidFill>
                          <a:prstDash val="solid"/>
                          <a:miter/>
                          <a:headEnd type="none" w="med" len="med"/>
                          <a:tailEnd type="none" w="med" len="med"/>
                        </a:ln>
                      </wps:spPr>
                      <wps:bodyPr upright="1"/>
                    </wps:wsp>
                  </a:graphicData>
                </a:graphic>
              </wp:anchor>
            </w:drawing>
          </mc:Choice>
          <mc:Fallback>
            <w:pict>
              <v:line id="直接连接符 5" o:spid="_x0000_s1026" o:spt="20" style="position:absolute;left:0pt;margin-left:142.35pt;margin-top:11.3pt;height:0.2pt;width:124.5pt;z-index:251662336;mso-width-relative:page;mso-height-relative:page;" filled="f" stroked="t" coordsize="21600,21600" o:gfxdata="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vBNwR1gAAAAkBAAAPAAAAAAAAAAEAIAAAACIAAABkcnMvZG93bnJldi54&#10;bWxQSwECFAAUAAAACACHTuJAYZ3gZvwBAADxAwAADgAAAAAAAAABACAAAAAlAQAAZHJzL2Uyb0Rv&#10;Yy54bWxQSwUGAAAAAAYABgBZAQAAkwUAAAAA&#10;">
                <v:fill on="f" focussize="0,0"/>
                <v:stroke weight="0.5pt" color="#000000" joinstyle="miter"/>
                <v:imagedata o:title=""/>
                <o:lock v:ext="edit" aspectratio="f"/>
              </v:line>
            </w:pict>
          </mc:Fallback>
        </mc:AlternateContent>
      </w:r>
    </w:p>
    <w:sectPr>
      <w:headerReference r:id="rId8" w:type="default"/>
      <w:footerReference r:id="rId9" w:type="default"/>
      <w:pgSz w:w="11906" w:h="16838"/>
      <w:pgMar w:top="567" w:right="1134" w:bottom="1134" w:left="1418" w:header="1418" w:footer="1134" w:gutter="0"/>
      <w:pgNumType w:start="1"/>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mc:AlternateContent>
        <mc:Choice Requires="wps">
          <w:drawing>
            <wp:anchor distT="0" distB="0" distL="114300" distR="114300" simplePos="0" relativeHeight="251663360" behindDoc="0" locked="0" layoutInCell="1" allowOverlap="1">
              <wp:simplePos x="0" y="0"/>
              <wp:positionH relativeFrom="margin">
                <wp:posOffset>5836920</wp:posOffset>
              </wp:positionH>
              <wp:positionV relativeFrom="paragraph">
                <wp:posOffset>18415</wp:posOffset>
              </wp:positionV>
              <wp:extent cx="114935" cy="131445"/>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14935" cy="131445"/>
                      </a:xfrm>
                      <a:prstGeom prst="rect">
                        <a:avLst/>
                      </a:prstGeom>
                      <a:noFill/>
                      <a:ln w="6350">
                        <a:noFill/>
                      </a:ln>
                      <a:effectLst/>
                    </wps:spPr>
                    <wps:txbx>
                      <w:txbxContent>
                        <w:p>
                          <w:pPr>
                            <w:pStyle w:val="3"/>
                          </w:pPr>
                        </w:p>
                      </w:txbxContent>
                    </wps:txbx>
                    <wps:bodyPr wrap="none" lIns="0" tIns="0" rIns="0" bIns="0" upright="1">
                      <a:spAutoFit/>
                    </wps:bodyPr>
                  </wps:wsp>
                </a:graphicData>
              </a:graphic>
            </wp:anchor>
          </w:drawing>
        </mc:Choice>
        <mc:Fallback>
          <w:pict>
            <v:shape id="_x0000_s1026" o:spid="_x0000_s1026" o:spt="202" type="#_x0000_t202" style="position:absolute;left:0pt;margin-left:459.6pt;margin-top:1.45pt;height:10.35pt;width:9.05pt;mso-position-horizontal-relative:margin;mso-wrap-style:none;z-index:251663360;mso-width-relative:page;mso-height-relative:page;" filled="f" stroked="f" coordsize="21600,21600" o:gfxdata="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AIcEadUAAAAIAQAADwAAAAAA&#10;AAABACAAAAAiAAAAZHJzL2Rvd25yZXYueG1sUEsBAhQAFAAAAAgAh07iQDvaHtDdAQAAsAMAAA4A&#10;AAAAAAAAAQAgAAAAJAEAAGRycy9lMm9Eb2MueG1sUEsFBgAAAAAGAAYAWQEAAHMFAAAAAA==&#10;">
              <v:fill on="f" focussize="0,0"/>
              <v:stroke on="f" weight="0.5pt"/>
              <v:imagedata o:title=""/>
              <o:lock v:ext="edit" aspectratio="f"/>
              <v:textbox inset="0mm,0mm,0mm,0mm" style="mso-fit-shape-to-text:t;">
                <w:txbxContent>
                  <w:p>
                    <w:pPr>
                      <w:pStyle w:val="3"/>
                    </w:pPr>
                  </w:p>
                </w:txbxContent>
              </v:textbox>
            </v:shape>
          </w:pict>
        </mc:Fallback>
      </mc:AlternateContent>
    </w: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76200" cy="131445"/>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76200" cy="131445"/>
                      </a:xfrm>
                      <a:prstGeom prst="rect">
                        <a:avLst/>
                      </a:prstGeom>
                      <a:noFill/>
                      <a:ln w="6350">
                        <a:noFill/>
                      </a:ln>
                      <a:effectLst/>
                    </wps:spPr>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0.35pt;width:6pt;mso-position-horizontal:center;mso-position-horizontal-relative:margin;mso-wrap-style:none;z-index:251664384;mso-width-relative:page;mso-height-relative:page;" filled="f" stroked="f" coordsize="21600,21600" o:gfxdata="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A21SkV0AAAAAMBAAAPAAAAAAAAAAEAIAAAACIAAABkcnMvZG93bnJldi54bWxQSwEC&#10;FAAUAAAACACHTuJAHCTMuzUCAABiBAAADgAAAAAAAAABACAAAAAfAQAAZHJzL2Uyb0RvYy54bWxQ&#10;SwUGAAAAAAYABgBZAQAAxg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3515" cy="224155"/>
              <wp:effectExtent l="0" t="0" r="0" b="0"/>
              <wp:wrapNone/>
              <wp:docPr id="2" name="文本框 1"/>
              <wp:cNvGraphicFramePr/>
              <a:graphic xmlns:a="http://schemas.openxmlformats.org/drawingml/2006/main">
                <a:graphicData uri="http://schemas.microsoft.com/office/word/2010/wordprocessingShape">
                  <wps:wsp>
                    <wps:cNvSpPr txBox="1"/>
                    <wps:spPr>
                      <a:xfrm>
                        <a:off x="0" y="0"/>
                        <a:ext cx="183515" cy="224155"/>
                      </a:xfrm>
                      <a:prstGeom prst="rect">
                        <a:avLst/>
                      </a:prstGeom>
                      <a:noFill/>
                      <a:ln>
                        <a:noFill/>
                      </a:ln>
                      <a:effectLst/>
                    </wps:spPr>
                    <wps:txbx>
                      <w:txbxContent>
                        <w:p>
                          <w:pPr>
                            <w:pStyle w:val="33"/>
                          </w:pPr>
                          <w:r>
                            <w:fldChar w:fldCharType="begin"/>
                          </w:r>
                          <w:r>
                            <w:instrText xml:space="preserve"> PAGE  \* MERGEFORMAT </w:instrText>
                          </w:r>
                          <w:r>
                            <w:fldChar w:fldCharType="separate"/>
                          </w:r>
                          <w:r>
                            <w:t>6</w:t>
                          </w:r>
                          <w:r>
                            <w:fldChar w:fldCharType="end"/>
                          </w:r>
                        </w:p>
                      </w:txbxContent>
                    </wps:txbx>
                    <wps:bodyPr wrap="none" lIns="0" tIns="0" rIns="0" bIns="0" upright="1">
                      <a:spAutoFit/>
                    </wps:bodyPr>
                  </wps:wsp>
                </a:graphicData>
              </a:graphic>
            </wp:anchor>
          </w:drawing>
        </mc:Choice>
        <mc:Fallback>
          <w:pict>
            <v:shape id="文本框 1" o:spid="_x0000_s1026" o:spt="202" type="#_x0000_t202" style="position:absolute;left:0pt;margin-top:0pt;height:17.65pt;width:14.45pt;mso-position-horizontal:right;mso-position-horizontal-relative:margin;mso-wrap-style:none;z-index:251659264;mso-width-relative:page;mso-height-relative:page;" filled="f" stroked="f" coordsize="21600,21600" o:gfxdata="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MYGzHPSAAAAAwEAAA8AAAAAAAAAAQAgAAAAIgAAAGRy&#10;cy9kb3ducmV2LnhtbFBLAQIUABQAAAAIAIdO4kBkzgnF0gEAAKUDAAAOAAAAAAAAAAEAIAAAACEB&#10;AABkcnMvZTJvRG9jLnhtbFBLBQYAAAAABgAGAFkBAABlBQAAAAA=&#10;">
              <v:fill on="f" focussize="0,0"/>
              <v:stroke on="f"/>
              <v:imagedata o:title=""/>
              <o:lock v:ext="edit" aspectratio="f"/>
              <v:textbox inset="0mm,0mm,0mm,0mm" style="mso-fit-shape-to-text:t;">
                <w:txbxContent>
                  <w:p>
                    <w:pPr>
                      <w:pStyle w:val="33"/>
                    </w:pPr>
                    <w:r>
                      <w:fldChar w:fldCharType="begin"/>
                    </w:r>
                    <w:r>
                      <w:instrText xml:space="preserve"> PAGE  \* MERGEFORMAT </w:instrText>
                    </w:r>
                    <w:r>
                      <w:fldChar w:fldCharType="separate"/>
                    </w:r>
                    <w:r>
                      <w:t>6</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top w:val="none" w:color="auto" w:sz="0" w:space="0"/>
        <w:left w:val="none" w:color="auto" w:sz="0" w:space="0"/>
        <w:bottom w:val="none" w:color="auto" w:sz="0" w:space="0"/>
        <w:right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top w:val="none" w:color="auto" w:sz="0" w:space="0"/>
        <w:left w:val="none" w:color="auto" w:sz="0" w:space="0"/>
        <w:bottom w:val="none" w:color="auto" w:sz="0" w:space="0"/>
        <w:right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top w:val="none" w:color="auto" w:sz="0" w:space="0"/>
        <w:left w:val="none" w:color="auto" w:sz="0" w:space="0"/>
        <w:bottom w:val="none" w:color="auto" w:sz="0" w:space="0"/>
        <w:right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rPr>
        <w:rFonts w:hint="eastAsia"/>
        <w:lang w:val="en-US" w:eastAsia="zh-CN"/>
      </w:rPr>
    </w:pPr>
    <w:r>
      <w:t>DB3207/TXXXX—</w:t>
    </w:r>
    <w:r>
      <w:rPr>
        <w:rFonts w:hint="eastAsia"/>
      </w:rPr>
      <w:t>202</w:t>
    </w:r>
    <w:r>
      <w:rPr>
        <w:rFonts w:hint="eastAsia"/>
        <w:lang w:val="en-US" w:eastAsia="zh-CN"/>
      </w:rPr>
      <w:t>4</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DB3207/T</w:t>
    </w:r>
    <w:r>
      <w:rPr>
        <w:rFonts w:hint="eastAsia"/>
      </w:rPr>
      <w:t xml:space="preserve"> </w:t>
    </w:r>
    <w:r>
      <w:t>XXXX—</w:t>
    </w:r>
    <w:r>
      <w:rPr>
        <w:rFonts w:hint="eastAsia"/>
      </w:rPr>
      <w:t>2024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pStyle w:val="38"/>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40"/>
      <w:suff w:val="nothing"/>
      <w:lvlText w:val="%1.%2　"/>
      <w:lvlJc w:val="left"/>
      <w:pPr>
        <w:ind w:left="0" w:firstLine="0"/>
      </w:pPr>
      <w:rPr>
        <w:rFonts w:hint="default"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46"/>
      <w:suff w:val="nothing"/>
      <w:lvlText w:val="%1.%2.%3　"/>
      <w:lvlJc w:val="left"/>
      <w:pPr>
        <w:ind w:left="0" w:firstLine="0"/>
      </w:pPr>
      <w:rPr>
        <w:rFonts w:hint="eastAsia" w:ascii="黑体" w:hAnsi="Times New Roman" w:eastAsia="黑体"/>
        <w:b w:val="0"/>
        <w:i w:val="0"/>
        <w:sz w:val="21"/>
      </w:rPr>
    </w:lvl>
    <w:lvl w:ilvl="3" w:tentative="0">
      <w:start w:val="1"/>
      <w:numFmt w:val="decimal"/>
      <w:pStyle w:val="47"/>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39D7AEB8"/>
    <w:multiLevelType w:val="multilevel"/>
    <w:tmpl w:val="39D7AEB8"/>
    <w:lvl w:ilvl="0" w:tentative="0">
      <w:start w:val="1"/>
      <w:numFmt w:val="lowerLetter"/>
      <w:pStyle w:val="41"/>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hdrShapeDefaults>
    <o:shapelayout v:ext="edit">
      <o:idmap v:ext="edit" data="8"/>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ZlYmIxZDAwOTZlODgzNzIyNWFlMzkwZTA4NTk0OWUifQ=="/>
  </w:docVars>
  <w:rsids>
    <w:rsidRoot w:val="00231C20"/>
    <w:rsid w:val="00002B8A"/>
    <w:rsid w:val="00020D33"/>
    <w:rsid w:val="00036F79"/>
    <w:rsid w:val="00045887"/>
    <w:rsid w:val="000948D1"/>
    <w:rsid w:val="000A5BF6"/>
    <w:rsid w:val="000B30E2"/>
    <w:rsid w:val="000B5CB0"/>
    <w:rsid w:val="000D3302"/>
    <w:rsid w:val="00100A5D"/>
    <w:rsid w:val="001041B2"/>
    <w:rsid w:val="00111D34"/>
    <w:rsid w:val="001166C2"/>
    <w:rsid w:val="001318A2"/>
    <w:rsid w:val="00150DD5"/>
    <w:rsid w:val="00172C94"/>
    <w:rsid w:val="00186F39"/>
    <w:rsid w:val="00191198"/>
    <w:rsid w:val="00196CCC"/>
    <w:rsid w:val="001A76EB"/>
    <w:rsid w:val="001B5AE2"/>
    <w:rsid w:val="001C2B46"/>
    <w:rsid w:val="001C3DC3"/>
    <w:rsid w:val="001E49C2"/>
    <w:rsid w:val="001E6994"/>
    <w:rsid w:val="001F412F"/>
    <w:rsid w:val="001F6640"/>
    <w:rsid w:val="00223AA4"/>
    <w:rsid w:val="00231C20"/>
    <w:rsid w:val="00232B4F"/>
    <w:rsid w:val="00250C4A"/>
    <w:rsid w:val="00262729"/>
    <w:rsid w:val="00267ACF"/>
    <w:rsid w:val="002742BF"/>
    <w:rsid w:val="00275D33"/>
    <w:rsid w:val="00282FBE"/>
    <w:rsid w:val="00290BFA"/>
    <w:rsid w:val="002A799A"/>
    <w:rsid w:val="002B253E"/>
    <w:rsid w:val="002B6A10"/>
    <w:rsid w:val="002C54B3"/>
    <w:rsid w:val="002E4119"/>
    <w:rsid w:val="002E7741"/>
    <w:rsid w:val="002F771A"/>
    <w:rsid w:val="003108E0"/>
    <w:rsid w:val="00337950"/>
    <w:rsid w:val="0037720B"/>
    <w:rsid w:val="00381A8B"/>
    <w:rsid w:val="00391E0C"/>
    <w:rsid w:val="00392167"/>
    <w:rsid w:val="003C03C4"/>
    <w:rsid w:val="003C0779"/>
    <w:rsid w:val="003C58CB"/>
    <w:rsid w:val="003E6D8B"/>
    <w:rsid w:val="004615AB"/>
    <w:rsid w:val="00465954"/>
    <w:rsid w:val="00482BC2"/>
    <w:rsid w:val="004A40B5"/>
    <w:rsid w:val="004C3639"/>
    <w:rsid w:val="004C4DAF"/>
    <w:rsid w:val="00500A3F"/>
    <w:rsid w:val="00500E8E"/>
    <w:rsid w:val="00504F13"/>
    <w:rsid w:val="00511049"/>
    <w:rsid w:val="00530679"/>
    <w:rsid w:val="0053651D"/>
    <w:rsid w:val="005556E8"/>
    <w:rsid w:val="005560B8"/>
    <w:rsid w:val="00565FC6"/>
    <w:rsid w:val="0056711C"/>
    <w:rsid w:val="005752A5"/>
    <w:rsid w:val="005914CD"/>
    <w:rsid w:val="005B13B0"/>
    <w:rsid w:val="005D721E"/>
    <w:rsid w:val="005E757C"/>
    <w:rsid w:val="00605B25"/>
    <w:rsid w:val="006145E8"/>
    <w:rsid w:val="00625CAE"/>
    <w:rsid w:val="00643250"/>
    <w:rsid w:val="00681262"/>
    <w:rsid w:val="00682B6A"/>
    <w:rsid w:val="00686442"/>
    <w:rsid w:val="006B5A3F"/>
    <w:rsid w:val="006C4C85"/>
    <w:rsid w:val="006C5564"/>
    <w:rsid w:val="006F47D1"/>
    <w:rsid w:val="00724C24"/>
    <w:rsid w:val="007374BE"/>
    <w:rsid w:val="007971EA"/>
    <w:rsid w:val="007A5692"/>
    <w:rsid w:val="007C5A22"/>
    <w:rsid w:val="007F75CA"/>
    <w:rsid w:val="008061A5"/>
    <w:rsid w:val="00811174"/>
    <w:rsid w:val="0082571D"/>
    <w:rsid w:val="00854D75"/>
    <w:rsid w:val="00857904"/>
    <w:rsid w:val="00864103"/>
    <w:rsid w:val="00883B7E"/>
    <w:rsid w:val="008A29A1"/>
    <w:rsid w:val="008A34F6"/>
    <w:rsid w:val="008A682D"/>
    <w:rsid w:val="008D46EC"/>
    <w:rsid w:val="008E6C5B"/>
    <w:rsid w:val="008E70F9"/>
    <w:rsid w:val="008F24A5"/>
    <w:rsid w:val="00906469"/>
    <w:rsid w:val="009069ED"/>
    <w:rsid w:val="00923969"/>
    <w:rsid w:val="0092706D"/>
    <w:rsid w:val="00962D11"/>
    <w:rsid w:val="00965B4F"/>
    <w:rsid w:val="00967FF1"/>
    <w:rsid w:val="00970BCE"/>
    <w:rsid w:val="00975BC3"/>
    <w:rsid w:val="00975D91"/>
    <w:rsid w:val="009A025E"/>
    <w:rsid w:val="009B5688"/>
    <w:rsid w:val="009B76D0"/>
    <w:rsid w:val="009C2759"/>
    <w:rsid w:val="009C7CF2"/>
    <w:rsid w:val="009E4E7F"/>
    <w:rsid w:val="009E50DD"/>
    <w:rsid w:val="009E561C"/>
    <w:rsid w:val="00A149FA"/>
    <w:rsid w:val="00A5559A"/>
    <w:rsid w:val="00A71ADA"/>
    <w:rsid w:val="00A73887"/>
    <w:rsid w:val="00A77F44"/>
    <w:rsid w:val="00A81B38"/>
    <w:rsid w:val="00A83112"/>
    <w:rsid w:val="00A83BD6"/>
    <w:rsid w:val="00A9206D"/>
    <w:rsid w:val="00AC1A6E"/>
    <w:rsid w:val="00AD5581"/>
    <w:rsid w:val="00AF0234"/>
    <w:rsid w:val="00AF6800"/>
    <w:rsid w:val="00B175E9"/>
    <w:rsid w:val="00B4649F"/>
    <w:rsid w:val="00B6489F"/>
    <w:rsid w:val="00B7698B"/>
    <w:rsid w:val="00B80EA8"/>
    <w:rsid w:val="00BC34ED"/>
    <w:rsid w:val="00BD15D7"/>
    <w:rsid w:val="00BD3012"/>
    <w:rsid w:val="00BD6B04"/>
    <w:rsid w:val="00BE72DE"/>
    <w:rsid w:val="00BF06EC"/>
    <w:rsid w:val="00C04A0D"/>
    <w:rsid w:val="00C06E43"/>
    <w:rsid w:val="00C159A4"/>
    <w:rsid w:val="00C406C0"/>
    <w:rsid w:val="00C45E3B"/>
    <w:rsid w:val="00C608FC"/>
    <w:rsid w:val="00C6325A"/>
    <w:rsid w:val="00C704F0"/>
    <w:rsid w:val="00C73DED"/>
    <w:rsid w:val="00C833D7"/>
    <w:rsid w:val="00C853E3"/>
    <w:rsid w:val="00CA1F68"/>
    <w:rsid w:val="00CB0DE2"/>
    <w:rsid w:val="00CD14DD"/>
    <w:rsid w:val="00CE0E30"/>
    <w:rsid w:val="00CF0370"/>
    <w:rsid w:val="00CF4733"/>
    <w:rsid w:val="00D043B5"/>
    <w:rsid w:val="00D158C7"/>
    <w:rsid w:val="00D15B71"/>
    <w:rsid w:val="00D3719F"/>
    <w:rsid w:val="00D53368"/>
    <w:rsid w:val="00D557CA"/>
    <w:rsid w:val="00D56370"/>
    <w:rsid w:val="00D6091A"/>
    <w:rsid w:val="00D9302C"/>
    <w:rsid w:val="00D93DE1"/>
    <w:rsid w:val="00DC186A"/>
    <w:rsid w:val="00DD5D37"/>
    <w:rsid w:val="00DE4F8F"/>
    <w:rsid w:val="00E22B85"/>
    <w:rsid w:val="00E33432"/>
    <w:rsid w:val="00E6657C"/>
    <w:rsid w:val="00E85E4B"/>
    <w:rsid w:val="00EB2AE5"/>
    <w:rsid w:val="00EC353A"/>
    <w:rsid w:val="00EC5C04"/>
    <w:rsid w:val="00ED0A99"/>
    <w:rsid w:val="00EE35E2"/>
    <w:rsid w:val="00EF747F"/>
    <w:rsid w:val="00F01733"/>
    <w:rsid w:val="00F116B2"/>
    <w:rsid w:val="00F15707"/>
    <w:rsid w:val="00F311C6"/>
    <w:rsid w:val="00F5250D"/>
    <w:rsid w:val="00F8005D"/>
    <w:rsid w:val="00F8631A"/>
    <w:rsid w:val="00F906AD"/>
    <w:rsid w:val="00F90E9C"/>
    <w:rsid w:val="00F9383E"/>
    <w:rsid w:val="00FA13DB"/>
    <w:rsid w:val="00FB1859"/>
    <w:rsid w:val="00FB4DD7"/>
    <w:rsid w:val="00FE1ADA"/>
    <w:rsid w:val="00FE59D1"/>
    <w:rsid w:val="00FE7330"/>
    <w:rsid w:val="00FF41F4"/>
    <w:rsid w:val="00FF4656"/>
    <w:rsid w:val="00FF519D"/>
    <w:rsid w:val="016B49B0"/>
    <w:rsid w:val="01E94041"/>
    <w:rsid w:val="022665A2"/>
    <w:rsid w:val="02FA4BEA"/>
    <w:rsid w:val="0485383D"/>
    <w:rsid w:val="04F634C1"/>
    <w:rsid w:val="059557CB"/>
    <w:rsid w:val="05A56B28"/>
    <w:rsid w:val="06197AB7"/>
    <w:rsid w:val="08262AF7"/>
    <w:rsid w:val="08EA2337"/>
    <w:rsid w:val="0A7B6CC7"/>
    <w:rsid w:val="0A9610CA"/>
    <w:rsid w:val="0AA2710B"/>
    <w:rsid w:val="0ACB549F"/>
    <w:rsid w:val="0B1B7D7A"/>
    <w:rsid w:val="0B1E2FD8"/>
    <w:rsid w:val="0BA17079"/>
    <w:rsid w:val="0BEC6947"/>
    <w:rsid w:val="0C412CD6"/>
    <w:rsid w:val="0DAE11D5"/>
    <w:rsid w:val="0F671BE9"/>
    <w:rsid w:val="10D74D42"/>
    <w:rsid w:val="10FE598E"/>
    <w:rsid w:val="1112331A"/>
    <w:rsid w:val="12DE64A6"/>
    <w:rsid w:val="1481784C"/>
    <w:rsid w:val="15617D83"/>
    <w:rsid w:val="1596468B"/>
    <w:rsid w:val="16006128"/>
    <w:rsid w:val="16266312"/>
    <w:rsid w:val="18117AF1"/>
    <w:rsid w:val="18616F2E"/>
    <w:rsid w:val="188624F1"/>
    <w:rsid w:val="18D15B57"/>
    <w:rsid w:val="18F82AC4"/>
    <w:rsid w:val="198A78DD"/>
    <w:rsid w:val="198B4B17"/>
    <w:rsid w:val="1B0442B2"/>
    <w:rsid w:val="1C9B6107"/>
    <w:rsid w:val="1DB82ACF"/>
    <w:rsid w:val="200854A4"/>
    <w:rsid w:val="20196452"/>
    <w:rsid w:val="207234F6"/>
    <w:rsid w:val="221A4B12"/>
    <w:rsid w:val="231860A1"/>
    <w:rsid w:val="23E5367B"/>
    <w:rsid w:val="241E6EC9"/>
    <w:rsid w:val="250E7DC2"/>
    <w:rsid w:val="25DD1FAB"/>
    <w:rsid w:val="29382F1C"/>
    <w:rsid w:val="295D1784"/>
    <w:rsid w:val="296B75CF"/>
    <w:rsid w:val="29704D67"/>
    <w:rsid w:val="2B1D621F"/>
    <w:rsid w:val="2B88558B"/>
    <w:rsid w:val="2C762362"/>
    <w:rsid w:val="2CD01871"/>
    <w:rsid w:val="2D5E4CD1"/>
    <w:rsid w:val="2E6513FB"/>
    <w:rsid w:val="2EC57D9A"/>
    <w:rsid w:val="2EE8124D"/>
    <w:rsid w:val="2EEC1E40"/>
    <w:rsid w:val="2EF80AA4"/>
    <w:rsid w:val="2F6530E3"/>
    <w:rsid w:val="2FF0097C"/>
    <w:rsid w:val="315417B8"/>
    <w:rsid w:val="31CE3FDC"/>
    <w:rsid w:val="31CE6039"/>
    <w:rsid w:val="340C1D01"/>
    <w:rsid w:val="348A60DD"/>
    <w:rsid w:val="34CD2369"/>
    <w:rsid w:val="34F51609"/>
    <w:rsid w:val="350535BC"/>
    <w:rsid w:val="352F48CE"/>
    <w:rsid w:val="359067E8"/>
    <w:rsid w:val="35BF3F91"/>
    <w:rsid w:val="36951590"/>
    <w:rsid w:val="37012781"/>
    <w:rsid w:val="37A4015B"/>
    <w:rsid w:val="3806155D"/>
    <w:rsid w:val="39EB445E"/>
    <w:rsid w:val="3A2916EA"/>
    <w:rsid w:val="3ADB0022"/>
    <w:rsid w:val="3B675832"/>
    <w:rsid w:val="3B7B7FEC"/>
    <w:rsid w:val="3DE56673"/>
    <w:rsid w:val="3E047CE6"/>
    <w:rsid w:val="3EBC5803"/>
    <w:rsid w:val="3FE8665F"/>
    <w:rsid w:val="407B48D9"/>
    <w:rsid w:val="40C32CF5"/>
    <w:rsid w:val="410C0202"/>
    <w:rsid w:val="414F4E84"/>
    <w:rsid w:val="417D0085"/>
    <w:rsid w:val="42AC05E7"/>
    <w:rsid w:val="4392664F"/>
    <w:rsid w:val="44EC07E1"/>
    <w:rsid w:val="454C6431"/>
    <w:rsid w:val="473B556B"/>
    <w:rsid w:val="48B33F86"/>
    <w:rsid w:val="48DA394D"/>
    <w:rsid w:val="49067309"/>
    <w:rsid w:val="4B065DB8"/>
    <w:rsid w:val="4B751CF1"/>
    <w:rsid w:val="4C0F3FD0"/>
    <w:rsid w:val="4C413131"/>
    <w:rsid w:val="4C8F6173"/>
    <w:rsid w:val="4E4C4FAF"/>
    <w:rsid w:val="4E87536B"/>
    <w:rsid w:val="4EEC23A6"/>
    <w:rsid w:val="4F5465B8"/>
    <w:rsid w:val="50257134"/>
    <w:rsid w:val="50D34059"/>
    <w:rsid w:val="51B33619"/>
    <w:rsid w:val="51D20A2F"/>
    <w:rsid w:val="52175722"/>
    <w:rsid w:val="52ED5043"/>
    <w:rsid w:val="53AA0A6A"/>
    <w:rsid w:val="54E6608F"/>
    <w:rsid w:val="56731990"/>
    <w:rsid w:val="584D6092"/>
    <w:rsid w:val="590931BE"/>
    <w:rsid w:val="591A20DD"/>
    <w:rsid w:val="591E1DB4"/>
    <w:rsid w:val="59C1601F"/>
    <w:rsid w:val="5AD07AC2"/>
    <w:rsid w:val="5BA1188F"/>
    <w:rsid w:val="5C004AB9"/>
    <w:rsid w:val="5E1E1580"/>
    <w:rsid w:val="5EF1653A"/>
    <w:rsid w:val="5F06363F"/>
    <w:rsid w:val="5F445F26"/>
    <w:rsid w:val="5FCE3F36"/>
    <w:rsid w:val="612A039F"/>
    <w:rsid w:val="616616D2"/>
    <w:rsid w:val="63630D3D"/>
    <w:rsid w:val="63882CAA"/>
    <w:rsid w:val="64833947"/>
    <w:rsid w:val="64C725F9"/>
    <w:rsid w:val="650A353E"/>
    <w:rsid w:val="651732D5"/>
    <w:rsid w:val="656C4C34"/>
    <w:rsid w:val="659327E0"/>
    <w:rsid w:val="66726677"/>
    <w:rsid w:val="66D03326"/>
    <w:rsid w:val="66EF262A"/>
    <w:rsid w:val="677E2663"/>
    <w:rsid w:val="678B6BE2"/>
    <w:rsid w:val="67951292"/>
    <w:rsid w:val="68093B71"/>
    <w:rsid w:val="6AA53448"/>
    <w:rsid w:val="6B0B7898"/>
    <w:rsid w:val="6BC76331"/>
    <w:rsid w:val="6CA20E9D"/>
    <w:rsid w:val="6CDB0CB5"/>
    <w:rsid w:val="6D124F19"/>
    <w:rsid w:val="6ED8354F"/>
    <w:rsid w:val="70640CBF"/>
    <w:rsid w:val="708774BB"/>
    <w:rsid w:val="73425277"/>
    <w:rsid w:val="738E2DDF"/>
    <w:rsid w:val="75B12C1A"/>
    <w:rsid w:val="77167266"/>
    <w:rsid w:val="782429BE"/>
    <w:rsid w:val="78F21702"/>
    <w:rsid w:val="798C63B0"/>
    <w:rsid w:val="79D4791E"/>
    <w:rsid w:val="7A49714C"/>
    <w:rsid w:val="7ACD0A2E"/>
    <w:rsid w:val="7B2E2FBA"/>
    <w:rsid w:val="7C0B2CCB"/>
    <w:rsid w:val="7C421F9D"/>
    <w:rsid w:val="7C4662B4"/>
    <w:rsid w:val="7D741D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Balloon Text"/>
    <w:basedOn w:val="1"/>
    <w:link w:val="50"/>
    <w:qFormat/>
    <w:uiPriority w:val="0"/>
    <w:rPr>
      <w:sz w:val="18"/>
      <w:szCs w:val="18"/>
    </w:rPr>
  </w:style>
  <w:style w:type="paragraph" w:styleId="3">
    <w:name w:val="footer"/>
    <w:basedOn w:val="1"/>
    <w:link w:val="52"/>
    <w:qFormat/>
    <w:uiPriority w:val="99"/>
    <w:pPr>
      <w:tabs>
        <w:tab w:val="center" w:pos="4153"/>
        <w:tab w:val="right" w:pos="8306"/>
      </w:tabs>
      <w:snapToGrid w:val="0"/>
      <w:jc w:val="left"/>
    </w:pPr>
    <w:rPr>
      <w:sz w:val="18"/>
    </w:rPr>
  </w:style>
  <w:style w:type="paragraph" w:styleId="4">
    <w:name w:val="header"/>
    <w:basedOn w:val="1"/>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toc 1"/>
    <w:basedOn w:val="1"/>
    <w:next w:val="1"/>
    <w:qFormat/>
    <w:uiPriority w:val="39"/>
  </w:style>
  <w:style w:type="paragraph" w:styleId="6">
    <w:name w:val="toc 2"/>
    <w:basedOn w:val="1"/>
    <w:next w:val="1"/>
    <w:unhideWhenUsed/>
    <w:qFormat/>
    <w:uiPriority w:val="39"/>
    <w:pPr>
      <w:ind w:left="420" w:leftChars="200"/>
    </w:pPr>
  </w:style>
  <w:style w:type="paragraph" w:styleId="7">
    <w:name w:val="Normal (Web)"/>
    <w:basedOn w:val="1"/>
    <w:qFormat/>
    <w:uiPriority w:val="0"/>
    <w:pPr>
      <w:spacing w:before="100" w:beforeAutospacing="1" w:after="100" w:afterAutospacing="1"/>
      <w:jc w:val="left"/>
    </w:pPr>
    <w:rPr>
      <w:kern w:val="0"/>
      <w:sz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Hyperlink"/>
    <w:basedOn w:val="10"/>
    <w:qFormat/>
    <w:uiPriority w:val="99"/>
    <w:rPr>
      <w:color w:val="0000FF"/>
      <w:u w:val="single"/>
    </w:rPr>
  </w:style>
  <w:style w:type="paragraph" w:customStyle="1" w:styleId="12">
    <w:name w:val="文献分类号"/>
    <w:qFormat/>
    <w:uiPriority w:val="99"/>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3">
    <w:name w:val="其他标准标志"/>
    <w:basedOn w:val="14"/>
    <w:qFormat/>
    <w:uiPriority w:val="99"/>
    <w:pPr>
      <w:framePr w:w="6101" w:wrap="around" w:vAnchor="page" w:hAnchor="page" w:x="4673" w:y="942"/>
    </w:pPr>
    <w:rPr>
      <w:w w:val="130"/>
    </w:rPr>
  </w:style>
  <w:style w:type="paragraph" w:customStyle="1" w:styleId="14">
    <w:name w:val="标准标志"/>
    <w:next w:val="1"/>
    <w:qFormat/>
    <w:uiPriority w:val="99"/>
    <w:pPr>
      <w:framePr w:w="2546" w:h="1389" w:hRule="exact" w:hSpace="181" w:vSpace="181" w:wrap="around" w:vAnchor="margin" w:hAnchor="margin" w:x="6522" w:y="398" w:anchorLock="1"/>
      <w:shd w:val="solid" w:color="FFFFFF" w:fill="FFFFFF"/>
      <w:spacing w:line="240" w:lineRule="atLeast"/>
      <w:jc w:val="right"/>
    </w:pPr>
    <w:rPr>
      <w:rFonts w:ascii="Times New Roman" w:hAnsi="Times New Roman" w:eastAsia="宋体" w:cs="Times New Roman"/>
      <w:b/>
      <w:w w:val="170"/>
      <w:sz w:val="96"/>
      <w:szCs w:val="96"/>
      <w:lang w:val="en-US" w:eastAsia="zh-CN" w:bidi="ar-SA"/>
    </w:rPr>
  </w:style>
  <w:style w:type="paragraph" w:customStyle="1" w:styleId="15">
    <w:name w:val="其他标准称谓"/>
    <w:next w:val="1"/>
    <w:qFormat/>
    <w:uiPriority w:val="99"/>
    <w:pPr>
      <w:framePr w:hSpace="181" w:vSpace="181" w:wrap="around" w:vAnchor="page" w:hAnchor="page" w:x="1419" w:y="2286" w:anchorLock="1"/>
      <w:spacing w:line="240" w:lineRule="atLeast"/>
      <w:jc w:val="distribute"/>
    </w:pPr>
    <w:rPr>
      <w:rFonts w:ascii="黑体" w:hAnsi="宋体" w:eastAsia="黑体" w:cs="Times New Roman"/>
      <w:spacing w:val="-40"/>
      <w:sz w:val="48"/>
      <w:szCs w:val="52"/>
      <w:lang w:val="en-US" w:eastAsia="zh-CN" w:bidi="ar-SA"/>
    </w:rPr>
  </w:style>
  <w:style w:type="paragraph" w:customStyle="1" w:styleId="16">
    <w:name w:val="封面标准号2"/>
    <w:qFormat/>
    <w:uiPriority w:val="99"/>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17">
    <w:name w:val="封面标准代替信息"/>
    <w:qFormat/>
    <w:uiPriority w:val="99"/>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18">
    <w:name w:val="封面标准名称"/>
    <w:qFormat/>
    <w:uiPriority w:val="99"/>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9">
    <w:name w:val="封面标准英文名称"/>
    <w:basedOn w:val="18"/>
    <w:qFormat/>
    <w:uiPriority w:val="99"/>
    <w:pPr>
      <w:framePr w:wrap="around"/>
      <w:spacing w:before="370" w:line="400" w:lineRule="exact"/>
    </w:pPr>
    <w:rPr>
      <w:rFonts w:ascii="Times New Roman"/>
      <w:sz w:val="28"/>
      <w:szCs w:val="28"/>
    </w:rPr>
  </w:style>
  <w:style w:type="paragraph" w:customStyle="1" w:styleId="20">
    <w:name w:val="封面一致性程度标识"/>
    <w:basedOn w:val="19"/>
    <w:qFormat/>
    <w:uiPriority w:val="99"/>
    <w:pPr>
      <w:framePr w:wrap="around"/>
      <w:spacing w:before="440"/>
    </w:pPr>
    <w:rPr>
      <w:rFonts w:ascii="宋体" w:eastAsia="宋体"/>
    </w:rPr>
  </w:style>
  <w:style w:type="paragraph" w:customStyle="1" w:styleId="21">
    <w:name w:val="封面标准文稿类别"/>
    <w:basedOn w:val="20"/>
    <w:qFormat/>
    <w:uiPriority w:val="99"/>
    <w:pPr>
      <w:framePr w:wrap="around"/>
      <w:spacing w:after="160" w:line="240" w:lineRule="auto"/>
    </w:pPr>
    <w:rPr>
      <w:sz w:val="24"/>
    </w:rPr>
  </w:style>
  <w:style w:type="paragraph" w:customStyle="1" w:styleId="22">
    <w:name w:val="封面标准文稿编辑信息"/>
    <w:basedOn w:val="21"/>
    <w:qFormat/>
    <w:uiPriority w:val="99"/>
    <w:pPr>
      <w:framePr w:wrap="around"/>
      <w:spacing w:before="180" w:line="180" w:lineRule="exact"/>
    </w:pPr>
    <w:rPr>
      <w:sz w:val="21"/>
    </w:rPr>
  </w:style>
  <w:style w:type="paragraph" w:customStyle="1" w:styleId="23">
    <w:name w:val="其他发布日期"/>
    <w:basedOn w:val="24"/>
    <w:qFormat/>
    <w:uiPriority w:val="99"/>
    <w:pPr>
      <w:framePr w:wrap="around" w:vAnchor="page" w:hAnchor="text" w:x="1419"/>
    </w:pPr>
  </w:style>
  <w:style w:type="paragraph" w:customStyle="1" w:styleId="24">
    <w:name w:val="发布日期"/>
    <w:qFormat/>
    <w:uiPriority w:val="99"/>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25">
    <w:name w:val="其他实施日期"/>
    <w:basedOn w:val="26"/>
    <w:qFormat/>
    <w:uiPriority w:val="99"/>
    <w:pPr>
      <w:framePr w:wrap="around"/>
    </w:pPr>
  </w:style>
  <w:style w:type="paragraph" w:customStyle="1" w:styleId="26">
    <w:name w:val="实施日期"/>
    <w:basedOn w:val="24"/>
    <w:qFormat/>
    <w:uiPriority w:val="99"/>
    <w:pPr>
      <w:framePr w:wrap="around" w:vAnchor="page" w:hAnchor="text"/>
      <w:jc w:val="right"/>
    </w:pPr>
  </w:style>
  <w:style w:type="paragraph" w:customStyle="1" w:styleId="27">
    <w:name w:val="其他发布部门"/>
    <w:basedOn w:val="28"/>
    <w:qFormat/>
    <w:uiPriority w:val="99"/>
    <w:pPr>
      <w:framePr w:wrap="around" w:y="15310"/>
      <w:spacing w:line="240" w:lineRule="atLeast"/>
    </w:pPr>
    <w:rPr>
      <w:rFonts w:ascii="黑体" w:eastAsia="黑体"/>
      <w:b w:val="0"/>
    </w:rPr>
  </w:style>
  <w:style w:type="paragraph" w:customStyle="1" w:styleId="28">
    <w:name w:val="发布部门"/>
    <w:next w:val="29"/>
    <w:qFormat/>
    <w:uiPriority w:val="99"/>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29">
    <w:name w:val="段"/>
    <w:link w:val="42"/>
    <w:qFormat/>
    <w:uiPriority w:val="99"/>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30">
    <w:name w:val="发布"/>
    <w:qFormat/>
    <w:uiPriority w:val="99"/>
    <w:rPr>
      <w:rFonts w:ascii="黑体" w:eastAsia="黑体" w:cs="Times New Roman"/>
      <w:spacing w:val="85"/>
      <w:w w:val="100"/>
      <w:position w:val="3"/>
      <w:sz w:val="28"/>
      <w:szCs w:val="28"/>
    </w:rPr>
  </w:style>
  <w:style w:type="paragraph" w:customStyle="1" w:styleId="31">
    <w:name w:val="前言、引言标题"/>
    <w:next w:val="29"/>
    <w:qFormat/>
    <w:uiPriority w:val="99"/>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32">
    <w:name w:val="标准书眉_奇数页"/>
    <w:next w:val="1"/>
    <w:qFormat/>
    <w:uiPriority w:val="99"/>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33">
    <w:name w:val="标准书脚_奇数页"/>
    <w:qFormat/>
    <w:uiPriority w:val="99"/>
    <w:pPr>
      <w:spacing w:before="120"/>
      <w:ind w:right="198"/>
      <w:jc w:val="right"/>
    </w:pPr>
    <w:rPr>
      <w:rFonts w:ascii="宋体" w:hAnsi="Times New Roman" w:eastAsia="宋体" w:cs="Times New Roman"/>
      <w:sz w:val="18"/>
      <w:szCs w:val="18"/>
      <w:lang w:val="en-US" w:eastAsia="zh-CN" w:bidi="ar-SA"/>
    </w:rPr>
  </w:style>
  <w:style w:type="paragraph" w:customStyle="1" w:styleId="34">
    <w:name w:val="p0"/>
    <w:basedOn w:val="1"/>
    <w:qFormat/>
    <w:uiPriority w:val="0"/>
    <w:pPr>
      <w:widowControl/>
    </w:pPr>
    <w:rPr>
      <w:kern w:val="0"/>
      <w:sz w:val="32"/>
      <w:szCs w:val="32"/>
    </w:rPr>
  </w:style>
  <w:style w:type="paragraph" w:customStyle="1" w:styleId="35">
    <w:name w:val="WPSOffice手动目录 1"/>
    <w:qFormat/>
    <w:uiPriority w:val="0"/>
    <w:rPr>
      <w:rFonts w:ascii="Times New Roman" w:hAnsi="Times New Roman" w:eastAsia="宋体" w:cs="Times New Roman"/>
      <w:lang w:val="en-US" w:eastAsia="zh-CN" w:bidi="ar-SA"/>
    </w:rPr>
  </w:style>
  <w:style w:type="paragraph" w:customStyle="1" w:styleId="36">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37">
    <w:name w:val="目次、标准名称标题"/>
    <w:basedOn w:val="1"/>
    <w:next w:val="29"/>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38">
    <w:name w:val="章标题"/>
    <w:next w:val="29"/>
    <w:qFormat/>
    <w:uiPriority w:val="0"/>
    <w:pPr>
      <w:numPr>
        <w:ilvl w:val="0"/>
        <w:numId w:val="1"/>
      </w:numPr>
      <w:spacing w:beforeLines="100" w:afterLines="100"/>
      <w:jc w:val="both"/>
      <w:outlineLvl w:val="1"/>
    </w:pPr>
    <w:rPr>
      <w:rFonts w:ascii="黑体" w:hAnsi="Times New Roman" w:eastAsia="黑体" w:cs="Times New Roman"/>
      <w:sz w:val="21"/>
      <w:lang w:val="en-US" w:eastAsia="zh-CN" w:bidi="ar-SA"/>
    </w:rPr>
  </w:style>
  <w:style w:type="paragraph" w:customStyle="1" w:styleId="39">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40">
    <w:name w:val="一级条标题"/>
    <w:next w:val="29"/>
    <w:qFormat/>
    <w:uiPriority w:val="0"/>
    <w:pPr>
      <w:numPr>
        <w:ilvl w:val="1"/>
        <w:numId w:val="1"/>
      </w:numPr>
      <w:spacing w:beforeLines="50" w:afterLines="50"/>
      <w:outlineLvl w:val="2"/>
    </w:pPr>
    <w:rPr>
      <w:rFonts w:ascii="黑体" w:hAnsi="Times New Roman" w:eastAsia="黑体" w:cs="Times New Roman"/>
      <w:sz w:val="21"/>
      <w:szCs w:val="21"/>
      <w:lang w:val="en-US" w:eastAsia="zh-CN" w:bidi="ar-SA"/>
    </w:rPr>
  </w:style>
  <w:style w:type="paragraph" w:customStyle="1" w:styleId="41">
    <w:name w:val="字母编号列项（一级）"/>
    <w:qFormat/>
    <w:uiPriority w:val="0"/>
    <w:pPr>
      <w:numPr>
        <w:ilvl w:val="0"/>
        <w:numId w:val="2"/>
      </w:numPr>
      <w:jc w:val="both"/>
    </w:pPr>
    <w:rPr>
      <w:rFonts w:ascii="宋体" w:hAnsi="Times New Roman" w:eastAsia="宋体" w:cs="Times New Roman"/>
      <w:sz w:val="21"/>
      <w:lang w:val="en-US" w:eastAsia="zh-CN" w:bidi="ar-SA"/>
    </w:rPr>
  </w:style>
  <w:style w:type="character" w:customStyle="1" w:styleId="42">
    <w:name w:val="段 Char Char"/>
    <w:link w:val="29"/>
    <w:qFormat/>
    <w:locked/>
    <w:uiPriority w:val="0"/>
    <w:rPr>
      <w:rFonts w:ascii="宋体" w:hAnsi="Times New Roman" w:eastAsia="宋体" w:cs="Times New Roman"/>
      <w:sz w:val="21"/>
      <w:lang w:val="en-US" w:eastAsia="zh-CN" w:bidi="ar-SA"/>
    </w:rPr>
  </w:style>
  <w:style w:type="paragraph" w:customStyle="1" w:styleId="43">
    <w:name w:val="列出段落1"/>
    <w:basedOn w:val="1"/>
    <w:unhideWhenUsed/>
    <w:qFormat/>
    <w:uiPriority w:val="99"/>
    <w:pPr>
      <w:ind w:firstLine="420" w:firstLineChars="200"/>
    </w:pPr>
  </w:style>
  <w:style w:type="paragraph" w:customStyle="1" w:styleId="44">
    <w:name w:val="图表编号"/>
    <w:basedOn w:val="1"/>
    <w:next w:val="45"/>
    <w:qFormat/>
    <w:uiPriority w:val="0"/>
    <w:pPr>
      <w:jc w:val="center"/>
    </w:pPr>
    <w:rPr>
      <w:rFonts w:eastAsia="黑体"/>
    </w:rPr>
  </w:style>
  <w:style w:type="paragraph" w:customStyle="1" w:styleId="45">
    <w:name w:val="L正文"/>
    <w:basedOn w:val="1"/>
    <w:qFormat/>
    <w:uiPriority w:val="0"/>
    <w:pPr>
      <w:ind w:firstLine="420" w:firstLineChars="200"/>
    </w:pPr>
    <w:rPr>
      <w:rFonts w:ascii="宋体" w:hAnsi="宋体"/>
    </w:rPr>
  </w:style>
  <w:style w:type="paragraph" w:customStyle="1" w:styleId="46">
    <w:name w:val="二级条标题"/>
    <w:basedOn w:val="40"/>
    <w:next w:val="29"/>
    <w:qFormat/>
    <w:uiPriority w:val="0"/>
    <w:pPr>
      <w:numPr>
        <w:ilvl w:val="2"/>
      </w:numPr>
      <w:spacing w:before="50" w:after="50"/>
      <w:outlineLvl w:val="3"/>
    </w:pPr>
  </w:style>
  <w:style w:type="paragraph" w:customStyle="1" w:styleId="47">
    <w:name w:val="三级条标题"/>
    <w:basedOn w:val="46"/>
    <w:next w:val="29"/>
    <w:qFormat/>
    <w:uiPriority w:val="0"/>
    <w:pPr>
      <w:numPr>
        <w:ilvl w:val="3"/>
      </w:numPr>
      <w:outlineLvl w:val="4"/>
    </w:pPr>
  </w:style>
  <w:style w:type="paragraph" w:customStyle="1" w:styleId="48">
    <w:name w:val="附录标识"/>
    <w:basedOn w:val="1"/>
    <w:next w:val="29"/>
    <w:qFormat/>
    <w:uiPriority w:val="0"/>
    <w:pPr>
      <w:keepNext/>
      <w:widowControl/>
      <w:shd w:val="clear" w:color="auto" w:fill="FFFFFF"/>
      <w:spacing w:before="640" w:after="280"/>
      <w:jc w:val="center"/>
      <w:outlineLvl w:val="0"/>
    </w:pPr>
    <w:rPr>
      <w:rFonts w:ascii="黑体" w:hAnsi="黑体" w:eastAsia="黑体" w:cs="宋体"/>
      <w:kern w:val="0"/>
    </w:rPr>
  </w:style>
  <w:style w:type="paragraph" w:customStyle="1" w:styleId="49">
    <w:name w:val="附录表标题"/>
    <w:basedOn w:val="1"/>
    <w:next w:val="29"/>
    <w:qFormat/>
    <w:uiPriority w:val="0"/>
    <w:pPr>
      <w:spacing w:beforeLines="50" w:afterLines="50"/>
      <w:jc w:val="center"/>
    </w:pPr>
    <w:rPr>
      <w:rFonts w:ascii="黑体" w:hAnsi="黑体" w:eastAsia="黑体" w:cs="宋体"/>
    </w:rPr>
  </w:style>
  <w:style w:type="character" w:customStyle="1" w:styleId="50">
    <w:name w:val="批注框文本 Char"/>
    <w:basedOn w:val="10"/>
    <w:link w:val="2"/>
    <w:qFormat/>
    <w:uiPriority w:val="0"/>
    <w:rPr>
      <w:kern w:val="2"/>
      <w:sz w:val="18"/>
      <w:szCs w:val="18"/>
    </w:rPr>
  </w:style>
  <w:style w:type="table" w:customStyle="1" w:styleId="51">
    <w:name w:val="网格型1"/>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52">
    <w:name w:val="页脚 Char"/>
    <w:basedOn w:val="10"/>
    <w:link w:val="3"/>
    <w:qFormat/>
    <w:uiPriority w:val="99"/>
    <w:rPr>
      <w:kern w:val="2"/>
      <w:sz w:val="18"/>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5.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1.jpe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 Inc.</Company>
  <Pages>8</Pages>
  <Words>2334</Words>
  <Characters>2682</Characters>
  <Lines>5</Lines>
  <Paragraphs>5</Paragraphs>
  <TotalTime>9</TotalTime>
  <ScaleCrop>false</ScaleCrop>
  <LinksUpToDate>false</LinksUpToDate>
  <CharactersWithSpaces>2797</CharactersWithSpaces>
  <Application>WPS Office_11.8.6.10973_F1E327BC-269C-435d-A152-05C5408002CA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2024-04-16T11:24:00Z</dcterms:created>
  <dc:creator>Administrator</dc:creator>
  <cp:lastModifiedBy>❤️❤️猫性傻瓜❤️❤️</cp:lastModifiedBy>
  <cp:lastPrinted>2024-04-19T01:19:00Z</cp:lastPrinted>
  <dcterms:modified xsi:type="dcterms:W3CDTF">2024-10-15T07:42:20Z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2052-11.8.6.10973</vt:lpwstr>
  </property>
  <property fmtid="{D5CDD505-2E9C-101B-9397-08002B2CF9AE}" pid="3" name="commondata">
    <vt:lpwstr>eyJoZGlkIjoiNGRjOGM5NTY0N2UyNThiNWIzNThhYmNlN2JmMjNlNWIifQ==</vt:lpwstr>
  </property>
  <property fmtid="{D5CDD505-2E9C-101B-9397-08002B2CF9AE}" pid="4" name="ICV">
    <vt:lpwstr>C67A5C91FDA84EB28F3FFD6E78A2A224</vt:lpwstr>
  </property>
</Properties>
</file>